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F7C53" w14:textId="65FCDC7C" w:rsidR="00674FB4" w:rsidRPr="003E492D" w:rsidRDefault="00674FB4" w:rsidP="00674FB4">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R1-18</w:t>
      </w:r>
      <w:r w:rsidR="00A44702">
        <w:rPr>
          <w:rFonts w:ascii="Arial" w:hAnsi="Arial" w:cs="Arial"/>
          <w:b/>
          <w:sz w:val="24"/>
          <w:lang w:val="en-US"/>
        </w:rPr>
        <w:t>12493</w:t>
      </w:r>
    </w:p>
    <w:p w14:paraId="27B15698" w14:textId="77777777" w:rsidR="00674FB4" w:rsidRPr="003E492D" w:rsidRDefault="00674FB4" w:rsidP="00674FB4">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2C2E49EE"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606902" w:rsidRPr="00606902">
        <w:rPr>
          <w:rFonts w:ascii="Arial" w:hAnsi="Arial" w:cs="Arial"/>
          <w:b/>
          <w:sz w:val="24"/>
          <w:lang w:val="en-US"/>
        </w:rPr>
        <w:t xml:space="preserve">Evaluation of NR </w:t>
      </w:r>
      <w:proofErr w:type="spellStart"/>
      <w:r w:rsidR="00606902" w:rsidRPr="00606902">
        <w:rPr>
          <w:rFonts w:ascii="Arial" w:hAnsi="Arial" w:cs="Arial"/>
          <w:b/>
          <w:sz w:val="24"/>
          <w:lang w:val="en-US"/>
        </w:rPr>
        <w:t>Uu</w:t>
      </w:r>
      <w:proofErr w:type="spellEnd"/>
      <w:r w:rsidR="00606902" w:rsidRPr="00606902">
        <w:rPr>
          <w:rFonts w:ascii="Arial" w:hAnsi="Arial" w:cs="Arial"/>
          <w:b/>
          <w:sz w:val="24"/>
          <w:lang w:val="en-US"/>
        </w:rPr>
        <w:t xml:space="preserve"> Support for Advanced V2X Use Cases</w:t>
      </w:r>
    </w:p>
    <w:p w14:paraId="0515EB6E" w14:textId="2564999A"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F1389E">
        <w:rPr>
          <w:rFonts w:ascii="Arial" w:hAnsi="Arial" w:cs="Arial"/>
          <w:b/>
          <w:sz w:val="24"/>
          <w:lang w:val="en-US"/>
        </w:rPr>
        <w:t>7</w:t>
      </w:r>
      <w:r w:rsidR="00103994" w:rsidRPr="00F1389E">
        <w:rPr>
          <w:rFonts w:ascii="Arial" w:hAnsi="Arial" w:cs="Arial"/>
          <w:b/>
          <w:sz w:val="24"/>
          <w:lang w:val="en-US"/>
        </w:rPr>
        <w:t>.</w:t>
      </w:r>
      <w:r w:rsidR="001917CD" w:rsidRPr="00F1389E">
        <w:rPr>
          <w:rFonts w:ascii="Arial" w:hAnsi="Arial" w:cs="Arial"/>
          <w:b/>
          <w:sz w:val="24"/>
          <w:lang w:val="en-US"/>
        </w:rPr>
        <w:t>2</w:t>
      </w:r>
      <w:r w:rsidR="00103994" w:rsidRPr="00F1389E">
        <w:rPr>
          <w:rFonts w:ascii="Arial" w:hAnsi="Arial" w:cs="Arial"/>
          <w:b/>
          <w:sz w:val="24"/>
          <w:lang w:val="en-US"/>
        </w:rPr>
        <w:t>.</w:t>
      </w:r>
      <w:r w:rsidR="001917CD" w:rsidRPr="00F1389E">
        <w:rPr>
          <w:rFonts w:ascii="Arial" w:hAnsi="Arial" w:cs="Arial"/>
          <w:b/>
          <w:sz w:val="24"/>
          <w:lang w:val="en-US"/>
        </w:rPr>
        <w:t>4.</w:t>
      </w:r>
      <w:r w:rsidR="00F6793E" w:rsidRPr="00F1389E">
        <w:rPr>
          <w:rFonts w:ascii="Arial" w:hAnsi="Arial" w:cs="Arial"/>
          <w:b/>
          <w:sz w:val="24"/>
          <w:lang w:val="en-US"/>
        </w:rPr>
        <w:t>2</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650AAFAC" w:rsidR="00E71EC1" w:rsidRDefault="00E71EC1" w:rsidP="00BE2C5A">
      <w:pPr>
        <w:pStyle w:val="3GPPText"/>
      </w:pPr>
      <w:r>
        <w:t xml:space="preserve">At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622D23">
        <w:fldChar w:fldCharType="separate"/>
      </w:r>
      <w:r w:rsidR="00623431">
        <w:t>[1]</w:t>
      </w:r>
      <w:r w:rsidR="00622D23">
        <w:fldChar w:fldCharType="end"/>
      </w:r>
      <w:r w:rsidR="001917CD">
        <w:t>.</w:t>
      </w:r>
      <w:r w:rsidR="00622D23">
        <w:t xml:space="preserve"> </w:t>
      </w:r>
      <w:r w:rsidR="00C84A44">
        <w:t xml:space="preserve">Study of technical solutions for </w:t>
      </w:r>
      <w:r w:rsidR="006079F5">
        <w:t xml:space="preserve">NR </w:t>
      </w:r>
      <w:proofErr w:type="spellStart"/>
      <w:r w:rsidR="006079F5">
        <w:t>Uu</w:t>
      </w:r>
      <w:proofErr w:type="spellEnd"/>
      <w:r w:rsidR="006079F5">
        <w:t xml:space="preserve"> radio-interface enhancements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716EE205" w14:textId="033725A0" w:rsidR="00860181" w:rsidRPr="00860181" w:rsidRDefault="00860181" w:rsidP="00860181">
            <w:pPr>
              <w:pStyle w:val="3GPPAgreements"/>
              <w:numPr>
                <w:ilvl w:val="0"/>
                <w:numId w:val="0"/>
              </w:numPr>
              <w:spacing w:line="280" w:lineRule="atLeast"/>
              <w:ind w:left="284" w:hanging="284"/>
              <w:rPr>
                <w:b/>
              </w:rPr>
            </w:pPr>
            <w:r>
              <w:rPr>
                <w:b/>
              </w:rPr>
              <w:t>NR V2X SI Objective # 2</w:t>
            </w:r>
          </w:p>
          <w:p w14:paraId="712D75D4" w14:textId="77777777" w:rsidR="00860181" w:rsidRPr="00860181" w:rsidRDefault="00860181" w:rsidP="00860181">
            <w:pPr>
              <w:pStyle w:val="3GPPAgreements"/>
              <w:rPr>
                <w:lang w:eastAsia="ko-KR"/>
              </w:rPr>
            </w:pPr>
            <w:proofErr w:type="spellStart"/>
            <w:r w:rsidRPr="00860181">
              <w:rPr>
                <w:lang w:eastAsia="ko-KR"/>
              </w:rPr>
              <w:t>Uu</w:t>
            </w:r>
            <w:proofErr w:type="spellEnd"/>
            <w:r w:rsidRPr="00860181">
              <w:rPr>
                <w:lang w:eastAsia="ko-KR"/>
              </w:rPr>
              <w:t xml:space="preserve"> enhancements for advanced V2X use cases [RAN1, RAN2, RAN3]:</w:t>
            </w:r>
          </w:p>
          <w:p w14:paraId="45BE5FBE" w14:textId="77777777" w:rsidR="00860181" w:rsidRDefault="00860181" w:rsidP="00860181">
            <w:pPr>
              <w:pStyle w:val="3GPPAgreements"/>
              <w:numPr>
                <w:ilvl w:val="1"/>
                <w:numId w:val="9"/>
              </w:numPr>
              <w:rPr>
                <w:lang w:eastAsia="ko-KR"/>
              </w:rPr>
            </w:pPr>
            <w:r w:rsidRPr="00860181">
              <w:rPr>
                <w:lang w:eastAsia="ko-KR"/>
              </w:rPr>
              <w:t xml:space="preserve">Evaluate whether Rel-15 NR </w:t>
            </w:r>
            <w:proofErr w:type="spellStart"/>
            <w:r w:rsidRPr="00860181">
              <w:rPr>
                <w:lang w:eastAsia="ko-KR"/>
              </w:rPr>
              <w:t>Uu</w:t>
            </w:r>
            <w:proofErr w:type="spellEnd"/>
            <w:r w:rsidRPr="00860181">
              <w:rPr>
                <w:lang w:eastAsia="ko-KR"/>
              </w:rPr>
              <w:t xml:space="preserve"> and LTE </w:t>
            </w:r>
            <w:proofErr w:type="spellStart"/>
            <w:r w:rsidRPr="00860181">
              <w:rPr>
                <w:lang w:eastAsia="ko-KR"/>
              </w:rPr>
              <w:t>Uu</w:t>
            </w:r>
            <w:proofErr w:type="spellEnd"/>
            <w:r w:rsidRPr="00860181">
              <w:rPr>
                <w:lang w:eastAsia="ko-KR"/>
              </w:rPr>
              <w:t xml:space="preserve"> interfaces will support advanced V2X use cases</w:t>
            </w:r>
          </w:p>
          <w:p w14:paraId="320D8BA3" w14:textId="77777777" w:rsidR="00860181" w:rsidRDefault="00860181" w:rsidP="00860181">
            <w:pPr>
              <w:pStyle w:val="3GPPAgreements"/>
              <w:numPr>
                <w:ilvl w:val="2"/>
                <w:numId w:val="9"/>
              </w:numPr>
              <w:rPr>
                <w:lang w:eastAsia="ko-KR"/>
              </w:rPr>
            </w:pPr>
            <w:r w:rsidRPr="00860181">
              <w:rPr>
                <w:lang w:eastAsia="ko-KR"/>
              </w:rPr>
              <w:t>Identify enhancements, if any, that are needed to meet advanced V2X use cases</w:t>
            </w:r>
          </w:p>
          <w:p w14:paraId="6FFEC802" w14:textId="77777777" w:rsidR="00860181" w:rsidRDefault="00860181" w:rsidP="00860181">
            <w:pPr>
              <w:pStyle w:val="3GPPAgreements"/>
              <w:numPr>
                <w:ilvl w:val="0"/>
                <w:numId w:val="0"/>
              </w:numPr>
              <w:ind w:left="284" w:hanging="284"/>
            </w:pPr>
          </w:p>
          <w:p w14:paraId="202441AC" w14:textId="51CDA1BE" w:rsidR="006A7E43" w:rsidRPr="00BD4D2D" w:rsidRDefault="00860181" w:rsidP="007F11FA">
            <w:pPr>
              <w:pStyle w:val="3GPPAgreements"/>
              <w:numPr>
                <w:ilvl w:val="0"/>
                <w:numId w:val="0"/>
              </w:numPr>
              <w:ind w:left="572" w:hanging="284"/>
              <w:rPr>
                <w:lang w:eastAsia="ko-KR"/>
              </w:rPr>
            </w:pPr>
            <w:r w:rsidRPr="00860181">
              <w:t>NOTE: Also consider other Rel-16 NR and LTE SI/WI enhancements to avoid overlap.</w:t>
            </w:r>
          </w:p>
        </w:tc>
      </w:tr>
    </w:tbl>
    <w:p w14:paraId="0F2CE37C" w14:textId="634E1731" w:rsidR="00967E7F" w:rsidRDefault="000745C8" w:rsidP="0017661D">
      <w:pPr>
        <w:pStyle w:val="3GPPText"/>
      </w:pPr>
      <w:r>
        <w:t xml:space="preserve">At RAN#81 meeting, a scoping decision was additionally made to resolve the overlap between </w:t>
      </w:r>
      <w:proofErr w:type="spellStart"/>
      <w:r>
        <w:t>eURLLC</w:t>
      </w:r>
      <w:proofErr w:type="spellEnd"/>
      <w:r>
        <w:t xml:space="preserve"> and NR V2X study items</w:t>
      </w:r>
      <w:r w:rsidR="008F4D45">
        <w:t xml:space="preserve"> </w:t>
      </w:r>
      <w:r w:rsidR="002139D7">
        <w:t xml:space="preserve">in relation to handling of the remote driving use cases </w:t>
      </w:r>
      <w:r w:rsidR="00796E6C">
        <w:fldChar w:fldCharType="begin"/>
      </w:r>
      <w:r w:rsidR="00796E6C">
        <w:instrText xml:space="preserve"> REF _Ref525929631 \r \h </w:instrText>
      </w:r>
      <w:r w:rsidR="00796E6C">
        <w:fldChar w:fldCharType="separate"/>
      </w:r>
      <w:r w:rsidR="00623431">
        <w:t>[2]</w:t>
      </w:r>
      <w:r w:rsidR="00796E6C">
        <w:fldChar w:fldCharType="end"/>
      </w:r>
      <w:r>
        <w:t>:</w:t>
      </w:r>
    </w:p>
    <w:tbl>
      <w:tblPr>
        <w:tblStyle w:val="TableGrid"/>
        <w:tblW w:w="0" w:type="auto"/>
        <w:tblLook w:val="04A0" w:firstRow="1" w:lastRow="0" w:firstColumn="1" w:lastColumn="0" w:noHBand="0" w:noVBand="1"/>
      </w:tblPr>
      <w:tblGrid>
        <w:gridCol w:w="9962"/>
      </w:tblGrid>
      <w:tr w:rsidR="000745C8" w14:paraId="2DCA1ED9" w14:textId="77777777" w:rsidTr="000745C8">
        <w:tc>
          <w:tcPr>
            <w:tcW w:w="9962" w:type="dxa"/>
          </w:tcPr>
          <w:p w14:paraId="7E07CEBB" w14:textId="109C31C7" w:rsidR="00D34EA5" w:rsidRPr="007F11FA" w:rsidRDefault="00A42611" w:rsidP="007F11FA">
            <w:pPr>
              <w:pStyle w:val="3GPPAgreements"/>
              <w:numPr>
                <w:ilvl w:val="0"/>
                <w:numId w:val="0"/>
              </w:numPr>
              <w:ind w:left="284" w:hanging="284"/>
              <w:rPr>
                <w:b/>
              </w:rPr>
            </w:pPr>
            <w:r w:rsidRPr="007F11FA">
              <w:rPr>
                <w:b/>
              </w:rPr>
              <w:t>V2X</w:t>
            </w:r>
            <w:r w:rsidR="008F4D45">
              <w:rPr>
                <w:b/>
              </w:rPr>
              <w:t>:</w:t>
            </w:r>
          </w:p>
          <w:p w14:paraId="0C92E4E8" w14:textId="77777777" w:rsidR="00D34EA5" w:rsidRPr="008F4D45" w:rsidRDefault="00A42611" w:rsidP="007F11FA">
            <w:pPr>
              <w:pStyle w:val="3GPPAgreements"/>
              <w:numPr>
                <w:ilvl w:val="1"/>
                <w:numId w:val="9"/>
              </w:numPr>
              <w:rPr>
                <w:lang w:eastAsia="ko-KR"/>
              </w:rPr>
            </w:pPr>
            <w:r w:rsidRPr="008F4D45">
              <w:rPr>
                <w:lang w:eastAsia="ko-KR"/>
              </w:rPr>
              <w:t xml:space="preserve">SL </w:t>
            </w:r>
            <w:r w:rsidRPr="008F4D45">
              <w:rPr>
                <w:lang w:eastAsia="ko-KR"/>
              </w:rPr>
              <w:sym w:font="Wingdings" w:char="F0E0"/>
            </w:r>
            <w:r w:rsidRPr="008F4D45">
              <w:rPr>
                <w:lang w:eastAsia="ko-KR"/>
              </w:rPr>
              <w:t xml:space="preserve"> V2X SI, including the latency and reliability requirements applicable to V2X SI</w:t>
            </w:r>
          </w:p>
          <w:p w14:paraId="7A644D41" w14:textId="77777777" w:rsidR="00D34EA5" w:rsidRPr="008F4D45" w:rsidRDefault="00A42611" w:rsidP="007F11FA">
            <w:pPr>
              <w:pStyle w:val="3GPPAgreements"/>
              <w:numPr>
                <w:ilvl w:val="2"/>
                <w:numId w:val="9"/>
              </w:numPr>
              <w:rPr>
                <w:lang w:eastAsia="ko-KR"/>
              </w:rPr>
            </w:pPr>
            <w:r w:rsidRPr="008F4D45">
              <w:rPr>
                <w:lang w:eastAsia="ko-KR"/>
              </w:rPr>
              <w:t xml:space="preserve">No discussion of SL in </w:t>
            </w:r>
            <w:proofErr w:type="spellStart"/>
            <w:r w:rsidRPr="008F4D45">
              <w:rPr>
                <w:lang w:eastAsia="ko-KR"/>
              </w:rPr>
              <w:t>eURLLC</w:t>
            </w:r>
            <w:proofErr w:type="spellEnd"/>
            <w:r w:rsidRPr="008F4D45">
              <w:rPr>
                <w:lang w:eastAsia="ko-KR"/>
              </w:rPr>
              <w:t xml:space="preserve"> SI</w:t>
            </w:r>
          </w:p>
          <w:p w14:paraId="74F4A08F" w14:textId="77777777" w:rsidR="00D34EA5" w:rsidRPr="008F4D45" w:rsidRDefault="00A42611" w:rsidP="007F11FA">
            <w:pPr>
              <w:pStyle w:val="3GPPAgreements"/>
              <w:numPr>
                <w:ilvl w:val="1"/>
                <w:numId w:val="9"/>
              </w:numPr>
              <w:rPr>
                <w:lang w:eastAsia="ko-KR"/>
              </w:rPr>
            </w:pPr>
            <w:proofErr w:type="spellStart"/>
            <w:r w:rsidRPr="008F4D45">
              <w:rPr>
                <w:lang w:eastAsia="ko-KR"/>
              </w:rPr>
              <w:t>Uu</w:t>
            </w:r>
            <w:proofErr w:type="spellEnd"/>
            <w:r w:rsidRPr="008F4D45">
              <w:rPr>
                <w:lang w:eastAsia="ko-KR"/>
              </w:rPr>
              <w:t xml:space="preserve"> remote driving use case </w:t>
            </w:r>
            <w:r w:rsidRPr="008F4D45">
              <w:rPr>
                <w:lang w:eastAsia="ko-KR"/>
              </w:rPr>
              <w:sym w:font="Wingdings" w:char="F0E0"/>
            </w:r>
            <w:r w:rsidRPr="008F4D45">
              <w:rPr>
                <w:lang w:eastAsia="ko-KR"/>
              </w:rPr>
              <w:t xml:space="preserve"> </w:t>
            </w:r>
            <w:proofErr w:type="spellStart"/>
            <w:r w:rsidRPr="008F4D45">
              <w:rPr>
                <w:lang w:eastAsia="ko-KR"/>
              </w:rPr>
              <w:t>eURLLC</w:t>
            </w:r>
            <w:proofErr w:type="spellEnd"/>
            <w:r w:rsidRPr="008F4D45">
              <w:rPr>
                <w:lang w:eastAsia="ko-KR"/>
              </w:rPr>
              <w:t xml:space="preserve"> SI</w:t>
            </w:r>
          </w:p>
          <w:p w14:paraId="67C08828" w14:textId="77777777" w:rsidR="00D34EA5" w:rsidRPr="007F11FA" w:rsidRDefault="00A42611" w:rsidP="007F11FA">
            <w:pPr>
              <w:pStyle w:val="3GPPAgreements"/>
              <w:numPr>
                <w:ilvl w:val="0"/>
                <w:numId w:val="0"/>
              </w:numPr>
              <w:ind w:left="284" w:hanging="284"/>
              <w:rPr>
                <w:b/>
              </w:rPr>
            </w:pPr>
            <w:r w:rsidRPr="007F11FA">
              <w:rPr>
                <w:b/>
              </w:rPr>
              <w:t>MIMO (multi-TRP aspects):</w:t>
            </w:r>
          </w:p>
          <w:p w14:paraId="60344A42" w14:textId="77777777" w:rsidR="00D34EA5" w:rsidRPr="008F4D45" w:rsidRDefault="00A42611" w:rsidP="007F11FA">
            <w:pPr>
              <w:pStyle w:val="3GPPAgreements"/>
              <w:numPr>
                <w:ilvl w:val="1"/>
                <w:numId w:val="9"/>
              </w:numPr>
              <w:rPr>
                <w:lang w:eastAsia="ko-KR"/>
              </w:rPr>
            </w:pPr>
            <w:r w:rsidRPr="008F4D45">
              <w:rPr>
                <w:lang w:eastAsia="ko-KR"/>
              </w:rPr>
              <w:t xml:space="preserve">Single-TRP techniques for URLLC requirements (e.g., PDCCH time-domain/frequency-domain repetitions, etc.) are done under </w:t>
            </w:r>
            <w:proofErr w:type="spellStart"/>
            <w:r w:rsidRPr="008F4D45">
              <w:rPr>
                <w:lang w:eastAsia="ko-KR"/>
              </w:rPr>
              <w:t>eURLLC</w:t>
            </w:r>
            <w:proofErr w:type="spellEnd"/>
            <w:r w:rsidRPr="008F4D45">
              <w:rPr>
                <w:lang w:eastAsia="ko-KR"/>
              </w:rPr>
              <w:t xml:space="preserve"> SI</w:t>
            </w:r>
          </w:p>
          <w:p w14:paraId="5111BD1D" w14:textId="77777777" w:rsidR="00D34EA5" w:rsidRPr="008F4D45" w:rsidRDefault="00A42611" w:rsidP="007F11FA">
            <w:pPr>
              <w:pStyle w:val="3GPPAgreements"/>
              <w:numPr>
                <w:ilvl w:val="1"/>
                <w:numId w:val="9"/>
              </w:numPr>
              <w:rPr>
                <w:lang w:eastAsia="ko-KR"/>
              </w:rPr>
            </w:pPr>
            <w:r w:rsidRPr="008F4D45">
              <w:rPr>
                <w:lang w:eastAsia="ko-KR"/>
              </w:rPr>
              <w:t>Multi-TRP techniques for URLLC requirements (e.g., repetition across TRPs, etc.) are done under MIMO WI</w:t>
            </w:r>
          </w:p>
          <w:p w14:paraId="6F9121C9" w14:textId="6F5314F2" w:rsidR="001A26BF" w:rsidRDefault="00A42611" w:rsidP="00C32FAA">
            <w:pPr>
              <w:pStyle w:val="3GPPAgreements"/>
              <w:numPr>
                <w:ilvl w:val="2"/>
                <w:numId w:val="9"/>
              </w:numPr>
              <w:rPr>
                <w:lang w:eastAsia="ko-KR"/>
              </w:rPr>
            </w:pPr>
            <w:r w:rsidRPr="008F4D45">
              <w:rPr>
                <w:lang w:eastAsia="ko-KR"/>
              </w:rPr>
              <w:t>To update MIMO WI accordingly</w:t>
            </w:r>
          </w:p>
        </w:tc>
      </w:tr>
    </w:tbl>
    <w:p w14:paraId="615785A4" w14:textId="32189EF8" w:rsidR="00C32FAA" w:rsidRDefault="00C32FAA" w:rsidP="0017661D">
      <w:pPr>
        <w:pStyle w:val="3GPPText"/>
      </w:pPr>
      <w:r>
        <w:t>Most recently, in RAN1#94bis, the following agreements were made:</w:t>
      </w:r>
    </w:p>
    <w:tbl>
      <w:tblPr>
        <w:tblStyle w:val="TableGrid"/>
        <w:tblW w:w="0" w:type="auto"/>
        <w:tblInd w:w="-5" w:type="dxa"/>
        <w:tblLook w:val="04A0" w:firstRow="1" w:lastRow="0" w:firstColumn="1" w:lastColumn="0" w:noHBand="0" w:noVBand="1"/>
      </w:tblPr>
      <w:tblGrid>
        <w:gridCol w:w="9967"/>
      </w:tblGrid>
      <w:tr w:rsidR="00C32FAA" w14:paraId="7FC9BB4E" w14:textId="77777777" w:rsidTr="00C32FAA">
        <w:tc>
          <w:tcPr>
            <w:tcW w:w="9967" w:type="dxa"/>
          </w:tcPr>
          <w:p w14:paraId="2144D70C" w14:textId="77777777" w:rsidR="00C32FAA" w:rsidRPr="001A26BF" w:rsidRDefault="00C32FAA" w:rsidP="00C32FAA">
            <w:pPr>
              <w:pStyle w:val="3GPPAgreements"/>
              <w:numPr>
                <w:ilvl w:val="0"/>
                <w:numId w:val="0"/>
              </w:numPr>
              <w:ind w:left="284" w:hanging="284"/>
              <w:rPr>
                <w:b/>
                <w:u w:val="single"/>
                <w:lang w:eastAsia="ko-KR"/>
              </w:rPr>
            </w:pPr>
            <w:r w:rsidRPr="001A26BF">
              <w:rPr>
                <w:b/>
                <w:u w:val="single"/>
                <w:lang w:eastAsia="ko-KR"/>
              </w:rPr>
              <w:t>RAN1#94bis Agreements</w:t>
            </w:r>
          </w:p>
          <w:p w14:paraId="68FAB5CF" w14:textId="77777777" w:rsidR="00C32FAA" w:rsidRPr="00BA6311" w:rsidRDefault="00C32FAA" w:rsidP="00DB147B">
            <w:pPr>
              <w:pStyle w:val="3GPPAgreements"/>
              <w:numPr>
                <w:ilvl w:val="0"/>
                <w:numId w:val="12"/>
              </w:numPr>
              <w:rPr>
                <w:b/>
                <w:lang w:eastAsia="x-none"/>
              </w:rPr>
            </w:pPr>
            <w:r w:rsidRPr="00BA6311">
              <w:t xml:space="preserve">For </w:t>
            </w:r>
            <w:proofErr w:type="spellStart"/>
            <w:r w:rsidRPr="00BA6311">
              <w:t>Uu</w:t>
            </w:r>
            <w:proofErr w:type="spellEnd"/>
            <w:r w:rsidRPr="00BA6311">
              <w:t xml:space="preserve"> for advanced V2X use cases, NR supports having multiple active UL configured grants in a given BWP in a given cell. </w:t>
            </w:r>
          </w:p>
          <w:p w14:paraId="751DA6DB" w14:textId="77777777" w:rsidR="00C32FAA" w:rsidRPr="00730B09" w:rsidRDefault="00C32FAA" w:rsidP="00DB147B">
            <w:pPr>
              <w:pStyle w:val="3GPPAgreements"/>
              <w:numPr>
                <w:ilvl w:val="1"/>
                <w:numId w:val="12"/>
              </w:numPr>
            </w:pPr>
            <w:r w:rsidRPr="00BA6311">
              <w:t>Details FFS</w:t>
            </w:r>
          </w:p>
          <w:p w14:paraId="0D97058A" w14:textId="77777777" w:rsidR="00C32FAA" w:rsidRPr="00D83258" w:rsidRDefault="00C32FAA" w:rsidP="00DB147B">
            <w:pPr>
              <w:pStyle w:val="3GPPAgreements"/>
              <w:numPr>
                <w:ilvl w:val="0"/>
                <w:numId w:val="12"/>
              </w:numPr>
            </w:pPr>
            <w:r w:rsidRPr="00D83258">
              <w:t>NR supports that UE reports assistance information to the gNB, consisting of at least (with details FFS):</w:t>
            </w:r>
          </w:p>
          <w:p w14:paraId="75BC3AD9" w14:textId="77777777" w:rsidR="00C32FAA" w:rsidRPr="00D83258" w:rsidRDefault="00C32FAA" w:rsidP="00DB147B">
            <w:pPr>
              <w:pStyle w:val="3GPPAgreements"/>
              <w:numPr>
                <w:ilvl w:val="1"/>
                <w:numId w:val="12"/>
              </w:numPr>
            </w:pPr>
            <w:r w:rsidRPr="00D83258">
              <w:t xml:space="preserve">UE-related geographic information (e.g., position). </w:t>
            </w:r>
          </w:p>
          <w:p w14:paraId="7D09E601" w14:textId="27115EB2" w:rsidR="00C32FAA" w:rsidRDefault="00C32FAA" w:rsidP="00DB147B">
            <w:pPr>
              <w:pStyle w:val="3GPPAgreements"/>
              <w:numPr>
                <w:ilvl w:val="1"/>
                <w:numId w:val="12"/>
              </w:numPr>
            </w:pPr>
            <w:r w:rsidRPr="00D83258">
              <w:t xml:space="preserve">Reports of </w:t>
            </w:r>
            <w:proofErr w:type="spellStart"/>
            <w:r w:rsidRPr="00D83258">
              <w:t>Uu</w:t>
            </w:r>
            <w:proofErr w:type="spellEnd"/>
            <w:r w:rsidRPr="00D83258">
              <w:t xml:space="preserve"> V2X traffic-related information (at least for periodic traffic)</w:t>
            </w:r>
          </w:p>
        </w:tc>
      </w:tr>
    </w:tbl>
    <w:p w14:paraId="759750AE" w14:textId="77777777" w:rsidR="00C32FAA" w:rsidRDefault="00C32FAA" w:rsidP="00C32FAA">
      <w:pPr>
        <w:pStyle w:val="3GPPAgreements"/>
        <w:numPr>
          <w:ilvl w:val="0"/>
          <w:numId w:val="0"/>
        </w:numPr>
        <w:ind w:left="284" w:hanging="284"/>
        <w:rPr>
          <w:lang w:eastAsia="ko-KR"/>
        </w:rPr>
      </w:pPr>
    </w:p>
    <w:p w14:paraId="3144829F" w14:textId="7682ACE1" w:rsidR="00E71EC1" w:rsidRDefault="00E71EC1" w:rsidP="0017661D">
      <w:pPr>
        <w:pStyle w:val="3GPPText"/>
      </w:pPr>
      <w:r>
        <w:lastRenderedPageBreak/>
        <w:t xml:space="preserve">In </w:t>
      </w:r>
      <w:r w:rsidR="005F04E4">
        <w:t>this contribution</w:t>
      </w:r>
      <w:r>
        <w:t xml:space="preserve">, we </w:t>
      </w:r>
      <w:r w:rsidR="00C32FAA">
        <w:t xml:space="preserve">further </w:t>
      </w:r>
      <w:r w:rsidR="00C84A44">
        <w:t>analyze</w:t>
      </w:r>
      <w:r w:rsidR="00A864F3">
        <w:t xml:space="preserve"> </w:t>
      </w:r>
      <w:r w:rsidR="006079F5">
        <w:t xml:space="preserve">potential enhancements to NR </w:t>
      </w:r>
      <w:proofErr w:type="spellStart"/>
      <w:r w:rsidR="006079F5">
        <w:t>Uu</w:t>
      </w:r>
      <w:proofErr w:type="spellEnd"/>
      <w:r w:rsidR="006079F5">
        <w:t xml:space="preserve"> radio-interface to support advanced V2X use cases</w:t>
      </w:r>
      <w:r w:rsidR="00E90540">
        <w:t>.</w:t>
      </w:r>
      <w:r w:rsidR="006079F5">
        <w:t xml:space="preserve"> Other aspects related to NR V2X study are discussed in our companion contributions</w:t>
      </w:r>
      <w:r w:rsidR="00C13005">
        <w:t xml:space="preserve"> </w:t>
      </w:r>
      <w:r w:rsidR="007B4EDF">
        <w:fldChar w:fldCharType="begin"/>
      </w:r>
      <w:r w:rsidR="007B4EDF">
        <w:instrText xml:space="preserve"> REF _Ref528923351 \r \h </w:instrText>
      </w:r>
      <w:r w:rsidR="007B4EDF">
        <w:fldChar w:fldCharType="separate"/>
      </w:r>
      <w:r w:rsidR="00623431">
        <w:t>[6]</w:t>
      </w:r>
      <w:r w:rsidR="007B4EDF">
        <w:fldChar w:fldCharType="end"/>
      </w:r>
      <w:r w:rsidR="007B4EDF" w:rsidRPr="007B4EDF">
        <w:t>-</w:t>
      </w:r>
      <w:r w:rsidR="007B4EDF">
        <w:fldChar w:fldCharType="begin"/>
      </w:r>
      <w:r w:rsidR="007B4EDF">
        <w:instrText xml:space="preserve"> REF _Ref528923355 \r \h </w:instrText>
      </w:r>
      <w:r w:rsidR="007B4EDF">
        <w:fldChar w:fldCharType="separate"/>
      </w:r>
      <w:r w:rsidR="00623431">
        <w:t>[14]</w:t>
      </w:r>
      <w:r w:rsidR="007B4EDF">
        <w:fldChar w:fldCharType="end"/>
      </w:r>
      <w:r w:rsidR="0075650A">
        <w:t>.</w:t>
      </w:r>
    </w:p>
    <w:p w14:paraId="2C53DE29" w14:textId="2076A897" w:rsidR="001F07D7" w:rsidRDefault="00387169" w:rsidP="00952FB1">
      <w:pPr>
        <w:pStyle w:val="3GPPH1"/>
      </w:pPr>
      <w:r>
        <w:t>Multiple CG-PUSCH Configurations</w:t>
      </w:r>
    </w:p>
    <w:p w14:paraId="71704393" w14:textId="0C2F9DEA" w:rsidR="00E302E5" w:rsidRPr="00E302E5" w:rsidRDefault="00B33CC2" w:rsidP="00E302E5">
      <w:pPr>
        <w:jc w:val="both"/>
        <w:rPr>
          <w:sz w:val="22"/>
          <w:szCs w:val="22"/>
        </w:rPr>
      </w:pPr>
      <w:r>
        <w:rPr>
          <w:sz w:val="22"/>
          <w:szCs w:val="22"/>
        </w:rPr>
        <w:t xml:space="preserve">It was agreed to support multiple activated CG-PUSCH configurations. The main purpose is to serve traffic flow or multiple traffic flows with quasi-periodic arrival but heterogeneous packet sizes. For example, the period may be constant however the packet size may be alternating between several known sizes. Moreover, in NR the periodicity itself may not be constant, however due to low latency requirements it is still crucial to exploit configured grant mechanism avoiding SR and DCI grant overhead. As illustrated in </w:t>
      </w:r>
      <w:r w:rsidRPr="00B33CC2">
        <w:rPr>
          <w:sz w:val="22"/>
          <w:szCs w:val="22"/>
        </w:rPr>
        <w:fldChar w:fldCharType="begin"/>
      </w:r>
      <w:r w:rsidRPr="00B33CC2">
        <w:rPr>
          <w:sz w:val="22"/>
          <w:szCs w:val="22"/>
        </w:rPr>
        <w:instrText xml:space="preserve"> REF _Ref521662298 \h </w:instrText>
      </w:r>
      <w:r>
        <w:rPr>
          <w:sz w:val="22"/>
          <w:szCs w:val="22"/>
        </w:rPr>
        <w:instrText xml:space="preserve"> \* MERGEFORMAT </w:instrText>
      </w:r>
      <w:r w:rsidRPr="00B33CC2">
        <w:rPr>
          <w:sz w:val="22"/>
          <w:szCs w:val="22"/>
        </w:rPr>
      </w:r>
      <w:r w:rsidRPr="00B33CC2">
        <w:rPr>
          <w:sz w:val="22"/>
          <w:szCs w:val="22"/>
        </w:rPr>
        <w:fldChar w:fldCharType="separate"/>
      </w:r>
      <w:r w:rsidR="00623431" w:rsidRPr="00623431">
        <w:rPr>
          <w:sz w:val="22"/>
          <w:szCs w:val="22"/>
        </w:rPr>
        <w:t xml:space="preserve">Figure </w:t>
      </w:r>
      <w:r w:rsidR="00623431" w:rsidRPr="00623431">
        <w:rPr>
          <w:noProof/>
          <w:sz w:val="22"/>
          <w:szCs w:val="22"/>
        </w:rPr>
        <w:t>1</w:t>
      </w:r>
      <w:r w:rsidRPr="00B33CC2">
        <w:rPr>
          <w:sz w:val="22"/>
          <w:szCs w:val="22"/>
        </w:rPr>
        <w:fldChar w:fldCharType="end"/>
      </w:r>
      <w:r w:rsidRPr="00B33CC2">
        <w:rPr>
          <w:sz w:val="22"/>
          <w:szCs w:val="22"/>
        </w:rPr>
        <w:t>,</w:t>
      </w:r>
      <w:r>
        <w:rPr>
          <w:sz w:val="22"/>
          <w:szCs w:val="22"/>
        </w:rPr>
        <w:t xml:space="preserve"> in general all the parameters of configurations including offset, periodicity, MCS, TDRA, FDRA, </w:t>
      </w:r>
      <w:r w:rsidR="00D612EE">
        <w:rPr>
          <w:sz w:val="22"/>
          <w:szCs w:val="22"/>
        </w:rPr>
        <w:t xml:space="preserve">etc. </w:t>
      </w:r>
      <w:r>
        <w:rPr>
          <w:sz w:val="22"/>
          <w:szCs w:val="22"/>
        </w:rPr>
        <w:t>may need to be different to achieve scheduling flexibility.</w:t>
      </w:r>
    </w:p>
    <w:p w14:paraId="2E31A448" w14:textId="625101C9" w:rsidR="00E302E5" w:rsidRDefault="003245CB" w:rsidP="00E302E5">
      <w:pPr>
        <w:jc w:val="center"/>
      </w:pPr>
      <w:r>
        <w:object w:dxaOrig="8101" w:dyaOrig="2400" w14:anchorId="3F7B1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47pt" o:ole="">
            <v:imagedata r:id="rId14" o:title=""/>
          </v:shape>
          <o:OLEObject Type="Embed" ProgID="Visio.Drawing.15" ShapeID="_x0000_i1025" DrawAspect="Content" ObjectID="_1602702671" r:id="rId15"/>
        </w:object>
      </w:r>
    </w:p>
    <w:p w14:paraId="3B372CC0" w14:textId="6C1A6BD9" w:rsidR="00E302E5" w:rsidRPr="00B33CC2" w:rsidRDefault="00E302E5" w:rsidP="00B33CC2">
      <w:pPr>
        <w:pStyle w:val="Caption"/>
        <w:jc w:val="center"/>
      </w:pPr>
      <w:bookmarkStart w:id="2" w:name="_Ref521662298"/>
      <w:r>
        <w:t xml:space="preserve">Figure </w:t>
      </w:r>
      <w:r>
        <w:fldChar w:fldCharType="begin"/>
      </w:r>
      <w:r>
        <w:instrText xml:space="preserve"> SEQ Figure \* ARABIC </w:instrText>
      </w:r>
      <w:r>
        <w:fldChar w:fldCharType="separate"/>
      </w:r>
      <w:r w:rsidR="00623431">
        <w:rPr>
          <w:noProof/>
        </w:rPr>
        <w:t>1</w:t>
      </w:r>
      <w:r>
        <w:fldChar w:fldCharType="end"/>
      </w:r>
      <w:bookmarkEnd w:id="2"/>
      <w:r>
        <w:t>. Illustration of multiple activated CG-PUSCH configurations in a cell</w:t>
      </w:r>
    </w:p>
    <w:p w14:paraId="4EBC9512" w14:textId="77777777" w:rsidR="00E302E5" w:rsidRPr="00E302E5" w:rsidRDefault="00E302E5" w:rsidP="00E302E5">
      <w:pPr>
        <w:jc w:val="both"/>
        <w:rPr>
          <w:sz w:val="22"/>
          <w:szCs w:val="22"/>
        </w:rPr>
      </w:pPr>
      <w:r w:rsidRPr="00E302E5">
        <w:rPr>
          <w:sz w:val="22"/>
          <w:szCs w:val="22"/>
        </w:rPr>
        <w:t>The described benefits come at expense of allocating to a UE more frequency or spatial (i.e. orthogonal DMRS) resources. It is further up to gNB how to manage the available resources between UEs and their spectrum demands depending also on gNB processing capabilities.</w:t>
      </w:r>
    </w:p>
    <w:p w14:paraId="33AFACC8" w14:textId="77777777" w:rsidR="00E302E5" w:rsidRPr="00E302E5" w:rsidRDefault="00E302E5" w:rsidP="00E302E5">
      <w:pPr>
        <w:jc w:val="both"/>
        <w:rPr>
          <w:sz w:val="22"/>
          <w:szCs w:val="22"/>
        </w:rPr>
      </w:pPr>
      <w:r w:rsidRPr="00E302E5">
        <w:rPr>
          <w:sz w:val="22"/>
          <w:szCs w:val="22"/>
        </w:rPr>
        <w:t>Assuming such behaviour, the following components are expected to be enabled:</w:t>
      </w:r>
    </w:p>
    <w:p w14:paraId="758434F1" w14:textId="77777777" w:rsidR="00E302E5" w:rsidRPr="00E302E5" w:rsidRDefault="00E302E5" w:rsidP="00DB147B">
      <w:pPr>
        <w:numPr>
          <w:ilvl w:val="0"/>
          <w:numId w:val="14"/>
        </w:numPr>
        <w:ind w:left="284" w:hanging="284"/>
        <w:jc w:val="both"/>
        <w:rPr>
          <w:sz w:val="22"/>
          <w:szCs w:val="22"/>
        </w:rPr>
      </w:pPr>
      <w:r w:rsidRPr="00E302E5">
        <w:rPr>
          <w:sz w:val="22"/>
          <w:szCs w:val="22"/>
        </w:rPr>
        <w:t>Providing multiple configurations. This part should be straightforward by populating the RRC signalling for configured grant PUSCH type 1 or sending L1 activation(s) with multiple sets of parameters in case of Type 2.</w:t>
      </w:r>
    </w:p>
    <w:p w14:paraId="6BEFFBE8" w14:textId="77777777" w:rsidR="00E302E5" w:rsidRPr="00E302E5" w:rsidRDefault="00E302E5" w:rsidP="00DB147B">
      <w:pPr>
        <w:numPr>
          <w:ilvl w:val="0"/>
          <w:numId w:val="14"/>
        </w:numPr>
        <w:ind w:left="284" w:hanging="284"/>
        <w:jc w:val="both"/>
        <w:rPr>
          <w:sz w:val="22"/>
          <w:szCs w:val="22"/>
        </w:rPr>
      </w:pPr>
      <w:r w:rsidRPr="00E302E5">
        <w:rPr>
          <w:sz w:val="22"/>
          <w:szCs w:val="22"/>
        </w:rPr>
        <w:t>Activation/deactivation of particular configuration for the case of CG-PUSCH Type 2 by dynamic DCI indication. Here, the problem of how to identify the different configurations using the same DCI format. Clearly, introducing multiple RNTIs would lead to increased FAR which may become a bottleneck. In that case, some fields which are not used for activation, such as HARQ ID may be utilized.</w:t>
      </w:r>
    </w:p>
    <w:p w14:paraId="709FE4F2" w14:textId="77777777" w:rsidR="00E302E5" w:rsidRPr="00E302E5" w:rsidRDefault="00E302E5" w:rsidP="00DB147B">
      <w:pPr>
        <w:numPr>
          <w:ilvl w:val="0"/>
          <w:numId w:val="14"/>
        </w:numPr>
        <w:ind w:left="284" w:hanging="284"/>
        <w:jc w:val="both"/>
        <w:rPr>
          <w:sz w:val="22"/>
          <w:szCs w:val="22"/>
        </w:rPr>
      </w:pPr>
      <w:r w:rsidRPr="00E302E5">
        <w:rPr>
          <w:sz w:val="22"/>
          <w:szCs w:val="22"/>
        </w:rPr>
        <w:t>HARQ ID modelling in presence of multiple configurations. This issue was discussed in Rel.15 and the most reasonable scheme is to introduce configuration specific offset to HARQ ID.</w:t>
      </w:r>
    </w:p>
    <w:p w14:paraId="411F06E2" w14:textId="77777777" w:rsidR="00E302E5" w:rsidRPr="00E302E5" w:rsidRDefault="00E302E5" w:rsidP="00DB147B">
      <w:pPr>
        <w:numPr>
          <w:ilvl w:val="0"/>
          <w:numId w:val="14"/>
        </w:numPr>
        <w:ind w:left="284" w:hanging="284"/>
        <w:jc w:val="both"/>
        <w:rPr>
          <w:sz w:val="22"/>
          <w:szCs w:val="22"/>
        </w:rPr>
      </w:pPr>
      <w:r w:rsidRPr="00E302E5">
        <w:rPr>
          <w:sz w:val="22"/>
          <w:szCs w:val="22"/>
        </w:rPr>
        <w:t>UE behaviour to choose a particular configuration. Once configured, a UE may be expected to take the nearest configuration for transmission in particular case. However, it may be left up to UE to decide particular approach also considering that multiple configurations may be used for different services.</w:t>
      </w:r>
    </w:p>
    <w:p w14:paraId="0685F744" w14:textId="77777777" w:rsidR="00E302E5" w:rsidRDefault="00E302E5" w:rsidP="00E302E5">
      <w:pPr>
        <w:jc w:val="both"/>
        <w:rPr>
          <w:i/>
        </w:rPr>
      </w:pPr>
    </w:p>
    <w:p w14:paraId="2E64C85E" w14:textId="77777777" w:rsidR="00E302E5" w:rsidRDefault="00E302E5" w:rsidP="00DB147B">
      <w:pPr>
        <w:pStyle w:val="3GPPText"/>
        <w:numPr>
          <w:ilvl w:val="0"/>
          <w:numId w:val="10"/>
        </w:numPr>
      </w:pPr>
    </w:p>
    <w:p w14:paraId="3AC3295A" w14:textId="55757520" w:rsidR="00E302E5" w:rsidRPr="00E302E5" w:rsidRDefault="00E302E5" w:rsidP="00E302E5">
      <w:pPr>
        <w:pStyle w:val="3GPPAgreements"/>
        <w:rPr>
          <w:b/>
        </w:rPr>
      </w:pPr>
      <w:r w:rsidRPr="00E302E5">
        <w:rPr>
          <w:b/>
        </w:rPr>
        <w:t>Multiple RRC configuration</w:t>
      </w:r>
      <w:r w:rsidR="00E07BF2">
        <w:rPr>
          <w:b/>
        </w:rPr>
        <w:t>s</w:t>
      </w:r>
      <w:r w:rsidRPr="00E302E5">
        <w:rPr>
          <w:b/>
        </w:rPr>
        <w:t xml:space="preserve"> of CG-PUSCH are provided per BWP</w:t>
      </w:r>
    </w:p>
    <w:p w14:paraId="6C162953" w14:textId="77777777" w:rsidR="00E302E5" w:rsidRPr="00E302E5" w:rsidRDefault="00E302E5" w:rsidP="00E302E5">
      <w:pPr>
        <w:pStyle w:val="3GPPAgreements"/>
        <w:rPr>
          <w:b/>
        </w:rPr>
      </w:pPr>
      <w:r w:rsidRPr="00E302E5">
        <w:rPr>
          <w:b/>
        </w:rPr>
        <w:t>Activation/deactivation of a configuration in case of CG-PUSCH type 2 is distinguished by a DCI field not used to derive PUSCH transmission settings</w:t>
      </w:r>
    </w:p>
    <w:p w14:paraId="293C47DF" w14:textId="77777777" w:rsidR="00E302E5" w:rsidRPr="00E302E5" w:rsidRDefault="00E302E5" w:rsidP="00E302E5">
      <w:pPr>
        <w:pStyle w:val="3GPPAgreements"/>
        <w:rPr>
          <w:b/>
        </w:rPr>
      </w:pPr>
      <w:r w:rsidRPr="00E302E5">
        <w:rPr>
          <w:b/>
        </w:rPr>
        <w:t>HARQ ID offset is added as part of each CG-PUSCH configuration</w:t>
      </w:r>
    </w:p>
    <w:p w14:paraId="6B67852E" w14:textId="49A7C533" w:rsidR="00E302E5" w:rsidRPr="00E302E5" w:rsidRDefault="00E302E5" w:rsidP="00E302E5">
      <w:pPr>
        <w:pStyle w:val="3GPPAgreements"/>
        <w:rPr>
          <w:b/>
        </w:rPr>
      </w:pPr>
      <w:r w:rsidRPr="00E302E5">
        <w:rPr>
          <w:b/>
        </w:rPr>
        <w:lastRenderedPageBreak/>
        <w:t>UE is not expected to transmit simultaneously according to more than one CG-PUSCH configuration</w:t>
      </w:r>
    </w:p>
    <w:p w14:paraId="5C6BB13C" w14:textId="77777777" w:rsidR="00E302E5" w:rsidRPr="00E302E5" w:rsidRDefault="00E302E5" w:rsidP="00E302E5">
      <w:pPr>
        <w:jc w:val="both"/>
        <w:rPr>
          <w:i/>
          <w:lang w:val="en-US"/>
        </w:rPr>
      </w:pPr>
    </w:p>
    <w:p w14:paraId="1FBFF5C4" w14:textId="0D8D874F" w:rsidR="00C52973" w:rsidRDefault="00313712" w:rsidP="00C52973">
      <w:pPr>
        <w:pStyle w:val="3GPPH1"/>
      </w:pPr>
      <w:bookmarkStart w:id="3" w:name="_Ref521421126"/>
      <w:r>
        <w:t>High Speed Related</w:t>
      </w:r>
      <w:r w:rsidR="00C52973">
        <w:t xml:space="preserve"> Enhancements to NR</w:t>
      </w:r>
      <w:r w:rsidR="004224CF">
        <w:t xml:space="preserve"> </w:t>
      </w:r>
      <w:proofErr w:type="spellStart"/>
      <w:r w:rsidR="004224CF">
        <w:t>Uu</w:t>
      </w:r>
      <w:bookmarkEnd w:id="3"/>
      <w:proofErr w:type="spellEnd"/>
    </w:p>
    <w:p w14:paraId="5EF136F8" w14:textId="5FF300C3" w:rsidR="003B20D2" w:rsidRDefault="00DA79AC" w:rsidP="00F1389E">
      <w:pPr>
        <w:pStyle w:val="3GPPText"/>
      </w:pPr>
      <w:r>
        <w:t xml:space="preserve">Except uncertainties with the support of MBMS/SC-PTM type of operation in NR and potential enhancements to high-speed operation, at this point we do not see feasibility issues to support advanced V2X use cases given the current ongoing work and scope in other Rel.16 items such as </w:t>
      </w:r>
      <w:proofErr w:type="spellStart"/>
      <w:r>
        <w:t>eURLLC</w:t>
      </w:r>
      <w:proofErr w:type="spellEnd"/>
      <w:r>
        <w:t>, MIMO, Mobility.</w:t>
      </w:r>
    </w:p>
    <w:p w14:paraId="712682D8" w14:textId="373C213D" w:rsidR="00EF5069" w:rsidRDefault="00DA79AC" w:rsidP="00EF5069">
      <w:pPr>
        <w:jc w:val="both"/>
        <w:rPr>
          <w:sz w:val="22"/>
          <w:szCs w:val="22"/>
          <w:lang w:val="en-US"/>
        </w:rPr>
      </w:pPr>
      <w:r>
        <w:rPr>
          <w:sz w:val="22"/>
          <w:szCs w:val="22"/>
          <w:lang w:val="en-US"/>
        </w:rPr>
        <w:t>In the context of high-speed operation, a</w:t>
      </w:r>
      <w:r w:rsidR="00EF5069" w:rsidRPr="007F11FA">
        <w:rPr>
          <w:sz w:val="22"/>
          <w:szCs w:val="22"/>
          <w:lang w:val="en-US"/>
        </w:rPr>
        <w:t xml:space="preserve">ccording to the current requirement on waveform quality, the UE is expected to synchronize to the “actual received frequency” from </w:t>
      </w:r>
      <w:r w:rsidR="005574B0">
        <w:rPr>
          <w:sz w:val="22"/>
          <w:szCs w:val="22"/>
          <w:lang w:val="en-US"/>
        </w:rPr>
        <w:t>g</w:t>
      </w:r>
      <w:r w:rsidR="00EF5069" w:rsidRPr="007F11FA">
        <w:rPr>
          <w:sz w:val="22"/>
          <w:szCs w:val="22"/>
          <w:lang w:val="en-US"/>
        </w:rPr>
        <w:t xml:space="preserve">NB that may include Doppler shift in case of mobility. If UE applies the actual received frequency (with additional estimation error up to 0.1ppm) for transmission, then Doppler </w:t>
      </w:r>
      <w:proofErr w:type="gramStart"/>
      <w:r w:rsidR="00EF5069" w:rsidRPr="007F11FA">
        <w:rPr>
          <w:sz w:val="22"/>
          <w:szCs w:val="22"/>
          <w:lang w:val="en-US"/>
        </w:rPr>
        <w:t>effect</w:t>
      </w:r>
      <w:proofErr w:type="gramEnd"/>
      <w:r w:rsidR="00EF5069" w:rsidRPr="007F11FA">
        <w:rPr>
          <w:sz w:val="22"/>
          <w:szCs w:val="22"/>
          <w:lang w:val="en-US"/>
        </w:rPr>
        <w:t xml:space="preserve"> at </w:t>
      </w:r>
      <w:r w:rsidR="005574B0">
        <w:rPr>
          <w:sz w:val="22"/>
          <w:szCs w:val="22"/>
          <w:lang w:val="en-US"/>
        </w:rPr>
        <w:t>g</w:t>
      </w:r>
      <w:r w:rsidR="00EF5069" w:rsidRPr="007F11FA">
        <w:rPr>
          <w:sz w:val="22"/>
          <w:szCs w:val="22"/>
          <w:lang w:val="en-US"/>
        </w:rPr>
        <w:t xml:space="preserve">NB side is doubled. The </w:t>
      </w:r>
      <w:r w:rsidR="005574B0">
        <w:rPr>
          <w:sz w:val="22"/>
          <w:szCs w:val="22"/>
          <w:lang w:val="en-US"/>
        </w:rPr>
        <w:t>g</w:t>
      </w:r>
      <w:r w:rsidR="00EF5069" w:rsidRPr="007F11FA">
        <w:rPr>
          <w:sz w:val="22"/>
          <w:szCs w:val="22"/>
          <w:lang w:val="en-US"/>
        </w:rPr>
        <w:t xml:space="preserve">NB may measure the frequency offset including Doppler shift and synchronization errors. In case if this offset is too high the </w:t>
      </w:r>
      <w:r w:rsidR="005574B0">
        <w:rPr>
          <w:sz w:val="22"/>
          <w:szCs w:val="22"/>
          <w:lang w:val="en-US"/>
        </w:rPr>
        <w:t>g</w:t>
      </w:r>
      <w:r w:rsidR="00EF5069" w:rsidRPr="007F11FA">
        <w:rPr>
          <w:sz w:val="22"/>
          <w:szCs w:val="22"/>
          <w:lang w:val="en-US"/>
        </w:rPr>
        <w:t>NB may try to correct it by sending frequency offset adjustment commands so that UE applies it for transmission.</w:t>
      </w:r>
    </w:p>
    <w:p w14:paraId="3A0B6154" w14:textId="77777777" w:rsidR="00C13005" w:rsidRPr="007F11FA" w:rsidRDefault="00C13005" w:rsidP="00EF5069">
      <w:pPr>
        <w:jc w:val="both"/>
        <w:rPr>
          <w:sz w:val="22"/>
          <w:szCs w:val="22"/>
          <w:lang w:val="en-US"/>
        </w:rPr>
      </w:pPr>
    </w:p>
    <w:p w14:paraId="3E9B9295" w14:textId="77777777" w:rsidR="00EF5069" w:rsidRDefault="00EF5069" w:rsidP="00DB147B">
      <w:pPr>
        <w:pStyle w:val="3GPPText"/>
        <w:numPr>
          <w:ilvl w:val="0"/>
          <w:numId w:val="10"/>
        </w:numPr>
      </w:pPr>
    </w:p>
    <w:p w14:paraId="36F6D4A7" w14:textId="70695FCD" w:rsidR="00EF5069" w:rsidRDefault="00EF5069">
      <w:pPr>
        <w:pStyle w:val="3GPPAgreements"/>
        <w:rPr>
          <w:b/>
        </w:rPr>
      </w:pPr>
      <w:r w:rsidRPr="00EF5069">
        <w:rPr>
          <w:b/>
        </w:rPr>
        <w:t>Further study frequency offset compensation mechanism</w:t>
      </w:r>
      <w:r w:rsidR="008F1DDF">
        <w:rPr>
          <w:b/>
        </w:rPr>
        <w:t>s</w:t>
      </w:r>
      <w:r w:rsidRPr="00EF5069">
        <w:rPr>
          <w:b/>
        </w:rPr>
        <w:t xml:space="preserve"> based on </w:t>
      </w:r>
      <w:r w:rsidR="005574B0">
        <w:rPr>
          <w:b/>
        </w:rPr>
        <w:t>g</w:t>
      </w:r>
      <w:r w:rsidRPr="00EF5069">
        <w:rPr>
          <w:b/>
        </w:rPr>
        <w:t>NB frequ</w:t>
      </w:r>
      <w:r w:rsidR="008F1DDF">
        <w:rPr>
          <w:b/>
        </w:rPr>
        <w:t>ency offset adjustment commands</w:t>
      </w:r>
    </w:p>
    <w:p w14:paraId="213124DF" w14:textId="77777777" w:rsidR="000222AB" w:rsidRPr="00EF5069" w:rsidRDefault="000222AB" w:rsidP="000222AB">
      <w:pPr>
        <w:pStyle w:val="3GPPText"/>
      </w:pPr>
    </w:p>
    <w:p w14:paraId="77BC98E7" w14:textId="77777777" w:rsidR="00356687" w:rsidRDefault="00356687" w:rsidP="00C84A44">
      <w:pPr>
        <w:pStyle w:val="3GPPH1"/>
        <w:tabs>
          <w:tab w:val="clear" w:pos="432"/>
          <w:tab w:val="num" w:pos="426"/>
        </w:tabs>
      </w:pPr>
      <w:r>
        <w:t>Conclusions</w:t>
      </w:r>
    </w:p>
    <w:p w14:paraId="1942CFC1" w14:textId="49DF7639" w:rsidR="00625B54" w:rsidRDefault="00F7704A" w:rsidP="00F1389E">
      <w:pPr>
        <w:pStyle w:val="3GPPText"/>
      </w:pPr>
      <w:r w:rsidRPr="00F1389E">
        <w:t xml:space="preserve">In this contribution, initial considerations on NR </w:t>
      </w:r>
      <w:proofErr w:type="spellStart"/>
      <w:r w:rsidRPr="00F1389E">
        <w:t>Uu</w:t>
      </w:r>
      <w:proofErr w:type="spellEnd"/>
      <w:r w:rsidRPr="00F1389E">
        <w:t xml:space="preserve"> enhancements targeting advanced V2X use cases have been provided. Based on the discussion and analysis, the following proposals are made:</w:t>
      </w:r>
    </w:p>
    <w:p w14:paraId="06EE8C79" w14:textId="77777777" w:rsidR="000222AB" w:rsidRDefault="000222AB" w:rsidP="00C75FAC">
      <w:pPr>
        <w:pStyle w:val="3GPPText"/>
      </w:pPr>
    </w:p>
    <w:p w14:paraId="5D9A94EA" w14:textId="77777777" w:rsidR="00B4481C" w:rsidRDefault="00B4481C" w:rsidP="00DB147B">
      <w:pPr>
        <w:pStyle w:val="3GPPText"/>
        <w:numPr>
          <w:ilvl w:val="0"/>
          <w:numId w:val="15"/>
        </w:numPr>
      </w:pPr>
    </w:p>
    <w:p w14:paraId="0E4FB6B8" w14:textId="77777777" w:rsidR="00B4481C" w:rsidRPr="00E302E5" w:rsidRDefault="00B4481C" w:rsidP="00B4481C">
      <w:pPr>
        <w:pStyle w:val="3GPPAgreements"/>
        <w:rPr>
          <w:b/>
        </w:rPr>
      </w:pPr>
      <w:r w:rsidRPr="00E302E5">
        <w:rPr>
          <w:b/>
        </w:rPr>
        <w:t>Multiple RRC configuration</w:t>
      </w:r>
      <w:r>
        <w:rPr>
          <w:b/>
        </w:rPr>
        <w:t>s</w:t>
      </w:r>
      <w:r w:rsidRPr="00E302E5">
        <w:rPr>
          <w:b/>
        </w:rPr>
        <w:t xml:space="preserve"> of CG-PUSCH are provided per BWP</w:t>
      </w:r>
    </w:p>
    <w:p w14:paraId="23215EED" w14:textId="77777777" w:rsidR="00B4481C" w:rsidRPr="00E302E5" w:rsidRDefault="00B4481C" w:rsidP="00B4481C">
      <w:pPr>
        <w:pStyle w:val="3GPPAgreements"/>
        <w:rPr>
          <w:b/>
        </w:rPr>
      </w:pPr>
      <w:r w:rsidRPr="00E302E5">
        <w:rPr>
          <w:b/>
        </w:rPr>
        <w:t>Activation/deactivation of a configuration in case of CG-PUSCH type 2 is distinguished by a DCI field not used to derive PUSCH transmission settings</w:t>
      </w:r>
    </w:p>
    <w:p w14:paraId="524378C6" w14:textId="77777777" w:rsidR="00B4481C" w:rsidRPr="00E302E5" w:rsidRDefault="00B4481C" w:rsidP="00B4481C">
      <w:pPr>
        <w:pStyle w:val="3GPPAgreements"/>
        <w:rPr>
          <w:b/>
        </w:rPr>
      </w:pPr>
      <w:r w:rsidRPr="00E302E5">
        <w:rPr>
          <w:b/>
        </w:rPr>
        <w:t>HARQ ID offset is added as part of each CG-PUSCH configuration</w:t>
      </w:r>
    </w:p>
    <w:p w14:paraId="017D1322" w14:textId="77777777" w:rsidR="00B4481C" w:rsidRPr="00E302E5" w:rsidRDefault="00B4481C" w:rsidP="00B4481C">
      <w:pPr>
        <w:pStyle w:val="3GPPAgreements"/>
        <w:rPr>
          <w:b/>
        </w:rPr>
      </w:pPr>
      <w:r w:rsidRPr="00E302E5">
        <w:rPr>
          <w:b/>
        </w:rPr>
        <w:t>UE is not expected to transmit simultaneously according to more than one CG-PUSCH configuration</w:t>
      </w:r>
    </w:p>
    <w:p w14:paraId="204F5CF1" w14:textId="77777777" w:rsidR="00B4481C" w:rsidRDefault="00B4481C" w:rsidP="00DB147B">
      <w:pPr>
        <w:pStyle w:val="3GPPText"/>
        <w:numPr>
          <w:ilvl w:val="0"/>
          <w:numId w:val="15"/>
        </w:numPr>
      </w:pPr>
    </w:p>
    <w:p w14:paraId="1FAD5994" w14:textId="77777777" w:rsidR="00B4481C" w:rsidRDefault="00B4481C" w:rsidP="00B4481C">
      <w:pPr>
        <w:pStyle w:val="3GPPAgreements"/>
        <w:rPr>
          <w:b/>
        </w:rPr>
      </w:pPr>
      <w:r w:rsidRPr="00EF5069">
        <w:rPr>
          <w:b/>
        </w:rPr>
        <w:t>Further study frequency offset compensation mechanism</w:t>
      </w:r>
      <w:r>
        <w:rPr>
          <w:b/>
        </w:rPr>
        <w:t>s</w:t>
      </w:r>
      <w:r w:rsidRPr="00EF5069">
        <w:rPr>
          <w:b/>
        </w:rPr>
        <w:t xml:space="preserve"> based on </w:t>
      </w:r>
      <w:proofErr w:type="spellStart"/>
      <w:r>
        <w:rPr>
          <w:b/>
        </w:rPr>
        <w:t>g</w:t>
      </w:r>
      <w:r w:rsidRPr="00EF5069">
        <w:rPr>
          <w:b/>
        </w:rPr>
        <w:t>NB</w:t>
      </w:r>
      <w:proofErr w:type="spellEnd"/>
      <w:r w:rsidRPr="00EF5069">
        <w:rPr>
          <w:b/>
        </w:rPr>
        <w:t xml:space="preserve"> frequ</w:t>
      </w:r>
      <w:r>
        <w:rPr>
          <w:b/>
        </w:rPr>
        <w:t>ency offset adjustment commands</w:t>
      </w:r>
    </w:p>
    <w:p w14:paraId="72D0D1C4" w14:textId="77777777" w:rsidR="00B4481C" w:rsidRPr="00C75FAC" w:rsidRDefault="00B4481C" w:rsidP="00C75FAC">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Pr="000222AB"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 w:name="_Ref520282793"/>
      <w:bookmarkStart w:id="5" w:name="_Ref505694604"/>
      <w:bookmarkStart w:id="6" w:name="_Ref471775016"/>
      <w:r w:rsidRPr="000222AB">
        <w:rPr>
          <w:rFonts w:ascii="Times New Roman" w:eastAsia="SimSun" w:hAnsi="Times New Roman"/>
          <w:szCs w:val="20"/>
        </w:rPr>
        <w:t>RP-</w:t>
      </w:r>
      <w:r w:rsidR="00622D23" w:rsidRPr="000222AB">
        <w:rPr>
          <w:rFonts w:ascii="Times New Roman" w:eastAsia="SimSun" w:hAnsi="Times New Roman"/>
          <w:szCs w:val="20"/>
        </w:rPr>
        <w:t>181480</w:t>
      </w:r>
      <w:r w:rsidRPr="000222AB">
        <w:rPr>
          <w:rFonts w:ascii="Times New Roman" w:eastAsia="SimSun" w:hAnsi="Times New Roman"/>
          <w:szCs w:val="20"/>
        </w:rPr>
        <w:t>, “New SID: Study on NR V2X”, Vodafone, La Jolla, USA, June 11th -14th, 2018</w:t>
      </w:r>
      <w:bookmarkEnd w:id="4"/>
    </w:p>
    <w:p w14:paraId="3E530EAF" w14:textId="705215C2" w:rsidR="00C13005" w:rsidRPr="000222AB" w:rsidRDefault="00C13005" w:rsidP="00C1300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5929631"/>
      <w:r w:rsidRPr="000222AB">
        <w:rPr>
          <w:rFonts w:ascii="Times New Roman" w:eastAsia="SimSun" w:hAnsi="Times New Roman"/>
          <w:szCs w:val="20"/>
          <w:lang w:val="en-GB"/>
        </w:rPr>
        <w:t>RP-182075 , “Handling of overlapped Rel-16 SI/WIs w.r.t. URLLC”, Gold Coast, Australia, September 2018</w:t>
      </w:r>
      <w:bookmarkEnd w:id="7"/>
    </w:p>
    <w:p w14:paraId="1656D9F6" w14:textId="77777777" w:rsidR="00045C75" w:rsidRPr="000222AB" w:rsidRDefault="00045C75" w:rsidP="00045C7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0463189"/>
      <w:r w:rsidRPr="000222AB">
        <w:rPr>
          <w:rFonts w:ascii="Times New Roman" w:eastAsia="SimSun" w:hAnsi="Times New Roman"/>
          <w:szCs w:val="20"/>
        </w:rPr>
        <w:t>TS 23.285 “</w:t>
      </w:r>
      <w:r w:rsidRPr="000222AB">
        <w:rPr>
          <w:rFonts w:ascii="Times New Roman" w:eastAsia="SimSun" w:hAnsi="Times New Roman" w:hint="eastAsia"/>
          <w:szCs w:val="20"/>
        </w:rPr>
        <w:t>A</w:t>
      </w:r>
      <w:r w:rsidRPr="000222AB">
        <w:rPr>
          <w:rFonts w:ascii="Times New Roman" w:eastAsia="SimSun" w:hAnsi="Times New Roman"/>
          <w:szCs w:val="20"/>
        </w:rPr>
        <w:t>rchitecture enhancements for V2X services”</w:t>
      </w:r>
      <w:r w:rsidR="007B7ADA" w:rsidRPr="000222AB">
        <w:rPr>
          <w:rFonts w:ascii="Times New Roman" w:eastAsia="SimSun" w:hAnsi="Times New Roman"/>
          <w:szCs w:val="20"/>
        </w:rPr>
        <w:t xml:space="preserve">, </w:t>
      </w:r>
      <w:r w:rsidRPr="000222AB">
        <w:rPr>
          <w:rFonts w:ascii="Times New Roman" w:eastAsia="SimSun" w:hAnsi="Times New Roman"/>
          <w:szCs w:val="20"/>
        </w:rPr>
        <w:t>V15.1.0</w:t>
      </w:r>
      <w:bookmarkEnd w:id="8"/>
    </w:p>
    <w:p w14:paraId="1CF464CC" w14:textId="77777777" w:rsidR="007B7ADA" w:rsidRPr="000222AB" w:rsidRDefault="007B7ADA" w:rsidP="007B7ADA">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0463379"/>
      <w:r w:rsidRPr="000222AB">
        <w:rPr>
          <w:rFonts w:ascii="Times New Roman" w:eastAsia="SimSun" w:hAnsi="Times New Roman"/>
          <w:szCs w:val="20"/>
        </w:rPr>
        <w:t>TS 23.501 “System Architecture for the 5G System; Stage 2”, V15.2.0</w:t>
      </w:r>
      <w:bookmarkEnd w:id="9"/>
    </w:p>
    <w:p w14:paraId="66CBA2F3" w14:textId="77777777" w:rsidR="007B7ADA" w:rsidRPr="000222AB" w:rsidRDefault="00F8746E" w:rsidP="007350BA">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20463702"/>
      <w:r w:rsidRPr="000222AB">
        <w:rPr>
          <w:rFonts w:ascii="Times New Roman" w:eastAsia="SimSun" w:hAnsi="Times New Roman"/>
          <w:szCs w:val="20"/>
        </w:rPr>
        <w:t>3GPP TS 22.186, “Service requirements for enhanced V2X scenarios”</w:t>
      </w:r>
      <w:bookmarkEnd w:id="5"/>
      <w:r w:rsidR="005A569F" w:rsidRPr="000222AB">
        <w:rPr>
          <w:rFonts w:ascii="Times New Roman" w:eastAsia="SimSun" w:hAnsi="Times New Roman"/>
          <w:szCs w:val="20"/>
        </w:rPr>
        <w:t>, 15.</w:t>
      </w:r>
      <w:r w:rsidR="007B7ADA" w:rsidRPr="000222AB">
        <w:rPr>
          <w:rFonts w:ascii="Times New Roman" w:eastAsia="SimSun" w:hAnsi="Times New Roman"/>
          <w:szCs w:val="20"/>
        </w:rPr>
        <w:t>3</w:t>
      </w:r>
      <w:r w:rsidR="005A569F" w:rsidRPr="000222AB">
        <w:rPr>
          <w:rFonts w:ascii="Times New Roman" w:eastAsia="SimSun" w:hAnsi="Times New Roman"/>
          <w:szCs w:val="20"/>
        </w:rPr>
        <w:t>.0</w:t>
      </w:r>
      <w:bookmarkStart w:id="11" w:name="_Ref505694607"/>
      <w:bookmarkEnd w:id="10"/>
    </w:p>
    <w:p w14:paraId="3311E5D5" w14:textId="77777777" w:rsidR="007B4EDF" w:rsidRPr="00A3261C" w:rsidRDefault="007B4EDF" w:rsidP="007B4EDF">
      <w:pPr>
        <w:widowControl w:val="0"/>
        <w:numPr>
          <w:ilvl w:val="0"/>
          <w:numId w:val="2"/>
        </w:numPr>
        <w:overflowPunct/>
        <w:autoSpaceDE/>
        <w:adjustRightInd/>
        <w:jc w:val="both"/>
        <w:textAlignment w:val="auto"/>
        <w:rPr>
          <w:iCs/>
          <w:sz w:val="22"/>
          <w:lang w:val="en-US"/>
        </w:rPr>
      </w:pPr>
      <w:bookmarkStart w:id="12" w:name="_Ref528923351"/>
      <w:bookmarkStart w:id="13" w:name="_Ref521696393"/>
      <w:bookmarkStart w:id="14" w:name="_Ref525929774"/>
      <w:r w:rsidRPr="00A3261C">
        <w:rPr>
          <w:iCs/>
          <w:sz w:val="22"/>
          <w:lang w:val="en-US"/>
        </w:rPr>
        <w:t xml:space="preserve">R1-1812488, “Sidelink physical layer structure for NR V2X communication”, Intel Corporation, Spokane, </w:t>
      </w:r>
      <w:r w:rsidRPr="00A3261C">
        <w:rPr>
          <w:iCs/>
          <w:sz w:val="22"/>
          <w:lang w:val="en-US"/>
        </w:rPr>
        <w:lastRenderedPageBreak/>
        <w:t>USA, November, 2018</w:t>
      </w:r>
      <w:bookmarkEnd w:id="12"/>
    </w:p>
    <w:p w14:paraId="50AADB51" w14:textId="77777777" w:rsidR="007B4EDF" w:rsidRPr="00A3261C" w:rsidRDefault="007B4EDF" w:rsidP="007B4EDF">
      <w:pPr>
        <w:widowControl w:val="0"/>
        <w:numPr>
          <w:ilvl w:val="0"/>
          <w:numId w:val="2"/>
        </w:numPr>
        <w:overflowPunct/>
        <w:autoSpaceDE/>
        <w:adjustRightInd/>
        <w:jc w:val="both"/>
        <w:textAlignment w:val="auto"/>
        <w:rPr>
          <w:iCs/>
          <w:sz w:val="22"/>
          <w:lang w:val="en-US"/>
        </w:rPr>
      </w:pPr>
      <w:r w:rsidRPr="00A3261C">
        <w:rPr>
          <w:iCs/>
          <w:sz w:val="22"/>
          <w:lang w:val="en-US"/>
        </w:rPr>
        <w:t>R1-1812489, “Physical layer procedures for NR V2X sidelink communication”, Intel Corporation, Spokane, USA, November, 2018</w:t>
      </w:r>
    </w:p>
    <w:p w14:paraId="45ACA272" w14:textId="77777777" w:rsidR="007B4EDF" w:rsidRPr="00A3261C" w:rsidRDefault="007B4EDF" w:rsidP="007B4EDF">
      <w:pPr>
        <w:widowControl w:val="0"/>
        <w:numPr>
          <w:ilvl w:val="0"/>
          <w:numId w:val="2"/>
        </w:numPr>
        <w:overflowPunct/>
        <w:autoSpaceDE/>
        <w:adjustRightInd/>
        <w:jc w:val="both"/>
        <w:textAlignment w:val="auto"/>
        <w:rPr>
          <w:iCs/>
          <w:sz w:val="22"/>
          <w:lang w:val="en-US"/>
        </w:rPr>
      </w:pPr>
      <w:r w:rsidRPr="00A3261C">
        <w:rPr>
          <w:iCs/>
          <w:sz w:val="22"/>
          <w:lang w:val="en-US"/>
        </w:rPr>
        <w:t>R1-1812490, “Synchronization framework for NR V2X sidelink communication”, Intel Corporation, Spokane, USA, November, 2018</w:t>
      </w:r>
    </w:p>
    <w:p w14:paraId="0AE0B819" w14:textId="77777777" w:rsidR="007B4EDF" w:rsidRPr="00A3261C" w:rsidRDefault="007B4EDF" w:rsidP="007B4EDF">
      <w:pPr>
        <w:widowControl w:val="0"/>
        <w:numPr>
          <w:ilvl w:val="0"/>
          <w:numId w:val="2"/>
        </w:numPr>
        <w:overflowPunct/>
        <w:autoSpaceDE/>
        <w:adjustRightInd/>
        <w:jc w:val="both"/>
        <w:textAlignment w:val="auto"/>
        <w:rPr>
          <w:iCs/>
          <w:sz w:val="22"/>
          <w:lang w:val="en-US"/>
        </w:rPr>
      </w:pPr>
      <w:r w:rsidRPr="00A3261C">
        <w:rPr>
          <w:iCs/>
          <w:sz w:val="22"/>
          <w:lang w:val="en-US"/>
        </w:rPr>
        <w:t>R1-1812491, “Resource allocation schemes for NR V2X sidelink communication”, Intel Corporation, Spokane, USA, November, 2018</w:t>
      </w:r>
    </w:p>
    <w:p w14:paraId="6A0351E6" w14:textId="77777777" w:rsidR="007B4EDF" w:rsidRPr="00A3261C" w:rsidRDefault="007B4EDF" w:rsidP="007B4EDF">
      <w:pPr>
        <w:widowControl w:val="0"/>
        <w:numPr>
          <w:ilvl w:val="0"/>
          <w:numId w:val="2"/>
        </w:numPr>
        <w:overflowPunct/>
        <w:autoSpaceDE/>
        <w:adjustRightInd/>
        <w:jc w:val="both"/>
        <w:textAlignment w:val="auto"/>
        <w:rPr>
          <w:iCs/>
          <w:sz w:val="22"/>
          <w:lang w:val="en-US"/>
        </w:rPr>
      </w:pPr>
      <w:bookmarkStart w:id="15" w:name="_Ref528924113"/>
      <w:r w:rsidRPr="00A3261C">
        <w:rPr>
          <w:iCs/>
          <w:sz w:val="22"/>
          <w:lang w:val="en-US"/>
        </w:rPr>
        <w:t>R1-1812492, “Further considerations on sidelink unicast/groupcast/broadcast for NR V2X communication”, Intel Corporation, Spokane, USA, November, 2018</w:t>
      </w:r>
      <w:bookmarkEnd w:id="15"/>
    </w:p>
    <w:p w14:paraId="231B3370" w14:textId="77777777" w:rsidR="007B4EDF" w:rsidRPr="00A3261C" w:rsidRDefault="007B4EDF" w:rsidP="007B4EDF">
      <w:pPr>
        <w:widowControl w:val="0"/>
        <w:numPr>
          <w:ilvl w:val="0"/>
          <w:numId w:val="2"/>
        </w:numPr>
        <w:overflowPunct/>
        <w:autoSpaceDE/>
        <w:adjustRightInd/>
        <w:jc w:val="both"/>
        <w:textAlignment w:val="auto"/>
        <w:rPr>
          <w:iCs/>
          <w:sz w:val="22"/>
          <w:lang w:val="en-US"/>
        </w:rPr>
      </w:pPr>
      <w:bookmarkStart w:id="16" w:name="_Ref528924035"/>
      <w:r w:rsidRPr="00A3261C">
        <w:rPr>
          <w:iCs/>
          <w:sz w:val="22"/>
          <w:lang w:val="en-US"/>
        </w:rPr>
        <w:t xml:space="preserve">R1-1812494, “On enhancement of NR/LTE </w:t>
      </w:r>
      <w:proofErr w:type="spellStart"/>
      <w:r w:rsidRPr="00A3261C">
        <w:rPr>
          <w:iCs/>
          <w:sz w:val="22"/>
          <w:lang w:val="en-US"/>
        </w:rPr>
        <w:t>Uu</w:t>
      </w:r>
      <w:proofErr w:type="spellEnd"/>
      <w:r w:rsidRPr="00A3261C">
        <w:rPr>
          <w:iCs/>
          <w:sz w:val="22"/>
          <w:lang w:val="en-US"/>
        </w:rPr>
        <w:t xml:space="preserve"> interfaces for </w:t>
      </w:r>
      <w:proofErr w:type="spellStart"/>
      <w:r w:rsidRPr="00A3261C">
        <w:rPr>
          <w:iCs/>
          <w:sz w:val="22"/>
          <w:lang w:val="en-US"/>
        </w:rPr>
        <w:t>sidelink</w:t>
      </w:r>
      <w:proofErr w:type="spellEnd"/>
      <w:r w:rsidRPr="00A3261C">
        <w:rPr>
          <w:iCs/>
          <w:sz w:val="22"/>
          <w:lang w:val="en-US"/>
        </w:rPr>
        <w:t xml:space="preserve"> resource allocation”, Intel Corporation, Spokane, USA, November, 2018</w:t>
      </w:r>
      <w:bookmarkEnd w:id="16"/>
    </w:p>
    <w:p w14:paraId="65911C43" w14:textId="77777777" w:rsidR="007B4EDF" w:rsidRPr="00A3261C" w:rsidRDefault="007B4EDF" w:rsidP="007B4EDF">
      <w:pPr>
        <w:widowControl w:val="0"/>
        <w:numPr>
          <w:ilvl w:val="0"/>
          <w:numId w:val="2"/>
        </w:numPr>
        <w:overflowPunct/>
        <w:autoSpaceDE/>
        <w:adjustRightInd/>
        <w:jc w:val="both"/>
        <w:textAlignment w:val="auto"/>
        <w:rPr>
          <w:iCs/>
          <w:sz w:val="22"/>
          <w:lang w:val="en-US"/>
        </w:rPr>
      </w:pPr>
      <w:bookmarkStart w:id="17" w:name="_Ref528924066"/>
      <w:r w:rsidRPr="00A3261C">
        <w:rPr>
          <w:iCs/>
          <w:sz w:val="22"/>
          <w:lang w:val="en-US"/>
        </w:rPr>
        <w:t>R1-1812495, “QoS management and congestion control for NR V2X sidelink communication”, Intel Corporation, Spokane, USA, November, 2018</w:t>
      </w:r>
      <w:bookmarkEnd w:id="17"/>
    </w:p>
    <w:p w14:paraId="0AF6289C" w14:textId="77777777" w:rsidR="007B4EDF" w:rsidRPr="00A3261C" w:rsidRDefault="007B4EDF" w:rsidP="007B4EDF">
      <w:pPr>
        <w:widowControl w:val="0"/>
        <w:numPr>
          <w:ilvl w:val="0"/>
          <w:numId w:val="2"/>
        </w:numPr>
        <w:overflowPunct/>
        <w:autoSpaceDE/>
        <w:adjustRightInd/>
        <w:jc w:val="both"/>
        <w:textAlignment w:val="auto"/>
        <w:rPr>
          <w:iCs/>
          <w:sz w:val="22"/>
          <w:lang w:val="en-US"/>
        </w:rPr>
      </w:pPr>
      <w:r w:rsidRPr="00A3261C">
        <w:rPr>
          <w:iCs/>
          <w:sz w:val="22"/>
          <w:lang w:val="en-US"/>
        </w:rPr>
        <w:t>R1-1812496, “In-device coexistence mechanisms for eV2X services”, Intel Corporation, Spokane, USA, November, 2018</w:t>
      </w:r>
    </w:p>
    <w:p w14:paraId="41A13549" w14:textId="55531F8E" w:rsidR="00695D03" w:rsidRPr="009A6A3C" w:rsidRDefault="007B4EDF" w:rsidP="009A6A3C">
      <w:pPr>
        <w:widowControl w:val="0"/>
        <w:numPr>
          <w:ilvl w:val="0"/>
          <w:numId w:val="2"/>
        </w:numPr>
        <w:tabs>
          <w:tab w:val="num" w:pos="708"/>
        </w:tabs>
        <w:overflowPunct/>
        <w:autoSpaceDE/>
        <w:adjustRightInd/>
        <w:jc w:val="both"/>
        <w:textAlignment w:val="auto"/>
        <w:rPr>
          <w:sz w:val="22"/>
          <w:lang w:eastAsia="x-none"/>
        </w:rPr>
      </w:pPr>
      <w:bookmarkStart w:id="18" w:name="_Ref528923355"/>
      <w:r w:rsidRPr="00A3261C">
        <w:rPr>
          <w:iCs/>
          <w:sz w:val="22"/>
          <w:lang w:val="en-US"/>
        </w:rPr>
        <w:t>R1-1812497, “Remaining aspects of eV2X evaluation methodology and assumptions”, Intel Corporation, Spokane, USA, November, 2018</w:t>
      </w:r>
      <w:bookmarkEnd w:id="6"/>
      <w:bookmarkEnd w:id="11"/>
      <w:bookmarkEnd w:id="13"/>
      <w:bookmarkEnd w:id="14"/>
      <w:bookmarkEnd w:id="18"/>
      <w:bookmarkEnd w:id="0"/>
    </w:p>
    <w:sectPr w:rsidR="00695D03" w:rsidRPr="009A6A3C"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8C1BF" w14:textId="77777777" w:rsidR="00DB147B" w:rsidRDefault="00DB147B">
      <w:r>
        <w:separator/>
      </w:r>
    </w:p>
  </w:endnote>
  <w:endnote w:type="continuationSeparator" w:id="0">
    <w:p w14:paraId="5BA98345" w14:textId="77777777" w:rsidR="00DB147B" w:rsidRDefault="00DB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557957" w:rsidRDefault="0055795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557957" w:rsidRDefault="0055795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557957" w:rsidRPr="00270202" w:rsidRDefault="0055795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23431">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23431">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7676C" w14:textId="77777777" w:rsidR="00DB147B" w:rsidRDefault="00DB147B">
      <w:r>
        <w:separator/>
      </w:r>
    </w:p>
  </w:footnote>
  <w:footnote w:type="continuationSeparator" w:id="0">
    <w:p w14:paraId="49B2ADAC" w14:textId="77777777" w:rsidR="00DB147B" w:rsidRDefault="00DB1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557957" w:rsidRDefault="0055795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250011"/>
    <w:multiLevelType w:val="multilevel"/>
    <w:tmpl w:val="602A8A6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EAE29AD4"/>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5343F7"/>
    <w:multiLevelType w:val="multilevel"/>
    <w:tmpl w:val="B874B9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EE9509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6335239E"/>
    <w:multiLevelType w:val="hybridMultilevel"/>
    <w:tmpl w:val="F5EAB8AA"/>
    <w:lvl w:ilvl="0" w:tplc="1F5EAB8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94746"/>
    <w:multiLevelType w:val="multilevel"/>
    <w:tmpl w:val="D8DC254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7"/>
  </w:num>
  <w:num w:numId="2">
    <w:abstractNumId w:val="6"/>
  </w:num>
  <w:num w:numId="3">
    <w:abstractNumId w:val="2"/>
  </w:num>
  <w:num w:numId="4">
    <w:abstractNumId w:val="8"/>
  </w:num>
  <w:num w:numId="5">
    <w:abstractNumId w:val="9"/>
  </w:num>
  <w:num w:numId="6">
    <w:abstractNumId w:val="4"/>
  </w:num>
  <w:num w:numId="7">
    <w:abstractNumId w:val="3"/>
  </w:num>
  <w:num w:numId="8">
    <w:abstractNumId w:val="10"/>
  </w:num>
  <w:num w:numId="9">
    <w:abstractNumId w:val="5"/>
  </w:num>
  <w:num w:numId="10">
    <w:abstractNumId w:val="15"/>
  </w:num>
  <w:num w:numId="11">
    <w:abstractNumId w:val="13"/>
  </w:num>
  <w:num w:numId="12">
    <w:abstractNumId w:val="12"/>
  </w:num>
  <w:num w:numId="13">
    <w:abstractNumId w:val="1"/>
  </w:num>
  <w:num w:numId="14">
    <w:abstractNumId w:val="14"/>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AB"/>
    <w:rsid w:val="000222F7"/>
    <w:rsid w:val="000228C4"/>
    <w:rsid w:val="00023A95"/>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22"/>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61"/>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0C"/>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646"/>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5C8"/>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D92"/>
    <w:rsid w:val="0009106D"/>
    <w:rsid w:val="00091199"/>
    <w:rsid w:val="00091385"/>
    <w:rsid w:val="00091714"/>
    <w:rsid w:val="00091A28"/>
    <w:rsid w:val="000921E3"/>
    <w:rsid w:val="00092301"/>
    <w:rsid w:val="00092334"/>
    <w:rsid w:val="0009253D"/>
    <w:rsid w:val="000929F1"/>
    <w:rsid w:val="00092FFB"/>
    <w:rsid w:val="00093063"/>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369"/>
    <w:rsid w:val="000C550B"/>
    <w:rsid w:val="000C5759"/>
    <w:rsid w:val="000C5E7D"/>
    <w:rsid w:val="000C628A"/>
    <w:rsid w:val="000C673C"/>
    <w:rsid w:val="000C69F8"/>
    <w:rsid w:val="000C71D9"/>
    <w:rsid w:val="000C723D"/>
    <w:rsid w:val="000C727B"/>
    <w:rsid w:val="000C73F4"/>
    <w:rsid w:val="000C7590"/>
    <w:rsid w:val="000C7C3E"/>
    <w:rsid w:val="000D0379"/>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8B8"/>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67C"/>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A5A"/>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0E42"/>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6BF"/>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3ED"/>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505"/>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417"/>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4A2"/>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9D7"/>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84C"/>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08C"/>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5B4"/>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6F85"/>
    <w:rsid w:val="002571C8"/>
    <w:rsid w:val="002572F1"/>
    <w:rsid w:val="0025774B"/>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820"/>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2FB1"/>
    <w:rsid w:val="00293261"/>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2C1"/>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12"/>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5CB"/>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5FB0"/>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62A"/>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5CE5"/>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169"/>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1D16"/>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6D"/>
    <w:rsid w:val="003A1DD5"/>
    <w:rsid w:val="003A1EE4"/>
    <w:rsid w:val="003A1EF5"/>
    <w:rsid w:val="003A2019"/>
    <w:rsid w:val="003A29A0"/>
    <w:rsid w:val="003A2AAB"/>
    <w:rsid w:val="003A2D39"/>
    <w:rsid w:val="003A2FE7"/>
    <w:rsid w:val="003A371E"/>
    <w:rsid w:val="003A3868"/>
    <w:rsid w:val="003A3BD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0D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CB"/>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6FDF"/>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4E4"/>
    <w:rsid w:val="0041577E"/>
    <w:rsid w:val="004157F6"/>
    <w:rsid w:val="0041589E"/>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4CF"/>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7C5"/>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62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514"/>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336"/>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6A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AA"/>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5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AE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D3B"/>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5B3C"/>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4B0"/>
    <w:rsid w:val="0055771C"/>
    <w:rsid w:val="00557957"/>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3A2"/>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9B1"/>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257"/>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C34"/>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2B"/>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902"/>
    <w:rsid w:val="00606D0C"/>
    <w:rsid w:val="00607039"/>
    <w:rsid w:val="00607244"/>
    <w:rsid w:val="0060731A"/>
    <w:rsid w:val="006073CE"/>
    <w:rsid w:val="006074B1"/>
    <w:rsid w:val="00607543"/>
    <w:rsid w:val="006079D8"/>
    <w:rsid w:val="006079F5"/>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A"/>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84"/>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431"/>
    <w:rsid w:val="006239D5"/>
    <w:rsid w:val="00623A42"/>
    <w:rsid w:val="00623B36"/>
    <w:rsid w:val="00623EF3"/>
    <w:rsid w:val="0062437B"/>
    <w:rsid w:val="00624453"/>
    <w:rsid w:val="006245F2"/>
    <w:rsid w:val="0062482C"/>
    <w:rsid w:val="00624AFA"/>
    <w:rsid w:val="00624C6E"/>
    <w:rsid w:val="00624F08"/>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B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3F8"/>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509"/>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FB4"/>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1D77"/>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E43"/>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2F2"/>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3DE2"/>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2D8A"/>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C0A"/>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B19"/>
    <w:rsid w:val="00716FC0"/>
    <w:rsid w:val="0071716F"/>
    <w:rsid w:val="00717267"/>
    <w:rsid w:val="007173A5"/>
    <w:rsid w:val="007178EE"/>
    <w:rsid w:val="00717A68"/>
    <w:rsid w:val="00717B0A"/>
    <w:rsid w:val="00720759"/>
    <w:rsid w:val="007208F9"/>
    <w:rsid w:val="00720BD4"/>
    <w:rsid w:val="00720F97"/>
    <w:rsid w:val="00721324"/>
    <w:rsid w:val="0072151E"/>
    <w:rsid w:val="007215A9"/>
    <w:rsid w:val="007218A9"/>
    <w:rsid w:val="0072190B"/>
    <w:rsid w:val="00721AC9"/>
    <w:rsid w:val="00721E1D"/>
    <w:rsid w:val="00722B72"/>
    <w:rsid w:val="00722E38"/>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30"/>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0A"/>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714"/>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B52"/>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E6C"/>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D7"/>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4EDF"/>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7BF"/>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454"/>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A0"/>
    <w:rsid w:val="007E73E9"/>
    <w:rsid w:val="007E7B2B"/>
    <w:rsid w:val="007E7CBA"/>
    <w:rsid w:val="007F05E0"/>
    <w:rsid w:val="007F0ACD"/>
    <w:rsid w:val="007F0B77"/>
    <w:rsid w:val="007F0D37"/>
    <w:rsid w:val="007F0DD3"/>
    <w:rsid w:val="007F1061"/>
    <w:rsid w:val="007F1178"/>
    <w:rsid w:val="007F11FA"/>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A"/>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654"/>
    <w:rsid w:val="00805767"/>
    <w:rsid w:val="00805809"/>
    <w:rsid w:val="00805A48"/>
    <w:rsid w:val="00805CB3"/>
    <w:rsid w:val="00806979"/>
    <w:rsid w:val="0080699F"/>
    <w:rsid w:val="00806CD1"/>
    <w:rsid w:val="00806D29"/>
    <w:rsid w:val="00806E8D"/>
    <w:rsid w:val="00807562"/>
    <w:rsid w:val="008076B5"/>
    <w:rsid w:val="0080770D"/>
    <w:rsid w:val="008079C7"/>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9D"/>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04"/>
    <w:rsid w:val="0085378A"/>
    <w:rsid w:val="00853B2A"/>
    <w:rsid w:val="00853C45"/>
    <w:rsid w:val="00854090"/>
    <w:rsid w:val="008540E5"/>
    <w:rsid w:val="008541B6"/>
    <w:rsid w:val="00854290"/>
    <w:rsid w:val="0085434A"/>
    <w:rsid w:val="0085487C"/>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181"/>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2D"/>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056"/>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BE"/>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88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1DDF"/>
    <w:rsid w:val="008F2201"/>
    <w:rsid w:val="008F2595"/>
    <w:rsid w:val="008F2694"/>
    <w:rsid w:val="008F2B4B"/>
    <w:rsid w:val="008F3601"/>
    <w:rsid w:val="008F3798"/>
    <w:rsid w:val="008F3A44"/>
    <w:rsid w:val="008F3D2D"/>
    <w:rsid w:val="008F3D7C"/>
    <w:rsid w:val="008F3DC9"/>
    <w:rsid w:val="008F4107"/>
    <w:rsid w:val="008F4240"/>
    <w:rsid w:val="008F45CD"/>
    <w:rsid w:val="008F473A"/>
    <w:rsid w:val="008F48AD"/>
    <w:rsid w:val="008F4BFE"/>
    <w:rsid w:val="008F4C66"/>
    <w:rsid w:val="008F4D45"/>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5BA3"/>
    <w:rsid w:val="00906100"/>
    <w:rsid w:val="0090626F"/>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04B"/>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0AC0"/>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2D2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B9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0DBE"/>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50A"/>
    <w:rsid w:val="009659EA"/>
    <w:rsid w:val="00965A1D"/>
    <w:rsid w:val="009662CB"/>
    <w:rsid w:val="0096691D"/>
    <w:rsid w:val="00966EC4"/>
    <w:rsid w:val="0096766C"/>
    <w:rsid w:val="00967851"/>
    <w:rsid w:val="009679AA"/>
    <w:rsid w:val="00967D2D"/>
    <w:rsid w:val="00967E7F"/>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5E67"/>
    <w:rsid w:val="009A6127"/>
    <w:rsid w:val="009A637B"/>
    <w:rsid w:val="009A6456"/>
    <w:rsid w:val="009A6A3C"/>
    <w:rsid w:val="009A6BAA"/>
    <w:rsid w:val="009A6C74"/>
    <w:rsid w:val="009A6D91"/>
    <w:rsid w:val="009A7154"/>
    <w:rsid w:val="009A7159"/>
    <w:rsid w:val="009A78D1"/>
    <w:rsid w:val="009B003C"/>
    <w:rsid w:val="009B0097"/>
    <w:rsid w:val="009B0264"/>
    <w:rsid w:val="009B0A7D"/>
    <w:rsid w:val="009B0CB8"/>
    <w:rsid w:val="009B0D82"/>
    <w:rsid w:val="009B10C1"/>
    <w:rsid w:val="009B1118"/>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712"/>
    <w:rsid w:val="00A009FB"/>
    <w:rsid w:val="00A01006"/>
    <w:rsid w:val="00A011C6"/>
    <w:rsid w:val="00A01F3F"/>
    <w:rsid w:val="00A01F62"/>
    <w:rsid w:val="00A021CA"/>
    <w:rsid w:val="00A023BF"/>
    <w:rsid w:val="00A02844"/>
    <w:rsid w:val="00A02B26"/>
    <w:rsid w:val="00A03893"/>
    <w:rsid w:val="00A0394B"/>
    <w:rsid w:val="00A03A26"/>
    <w:rsid w:val="00A0403F"/>
    <w:rsid w:val="00A04101"/>
    <w:rsid w:val="00A04399"/>
    <w:rsid w:val="00A0443B"/>
    <w:rsid w:val="00A04541"/>
    <w:rsid w:val="00A04846"/>
    <w:rsid w:val="00A0486E"/>
    <w:rsid w:val="00A04A92"/>
    <w:rsid w:val="00A04F7D"/>
    <w:rsid w:val="00A050D3"/>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11"/>
    <w:rsid w:val="00A42659"/>
    <w:rsid w:val="00A42721"/>
    <w:rsid w:val="00A42897"/>
    <w:rsid w:val="00A42937"/>
    <w:rsid w:val="00A429DE"/>
    <w:rsid w:val="00A42D52"/>
    <w:rsid w:val="00A42F76"/>
    <w:rsid w:val="00A4339C"/>
    <w:rsid w:val="00A43631"/>
    <w:rsid w:val="00A43995"/>
    <w:rsid w:val="00A439DE"/>
    <w:rsid w:val="00A44702"/>
    <w:rsid w:val="00A44775"/>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F8"/>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AF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8A"/>
    <w:rsid w:val="00A83BF1"/>
    <w:rsid w:val="00A83C06"/>
    <w:rsid w:val="00A83D3C"/>
    <w:rsid w:val="00A84298"/>
    <w:rsid w:val="00A8452F"/>
    <w:rsid w:val="00A84F55"/>
    <w:rsid w:val="00A8513A"/>
    <w:rsid w:val="00A8523D"/>
    <w:rsid w:val="00A853DF"/>
    <w:rsid w:val="00A85661"/>
    <w:rsid w:val="00A85EE4"/>
    <w:rsid w:val="00A85FFF"/>
    <w:rsid w:val="00A861C4"/>
    <w:rsid w:val="00A864F3"/>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7E6"/>
    <w:rsid w:val="00AA1D12"/>
    <w:rsid w:val="00AA1EEC"/>
    <w:rsid w:val="00AA2061"/>
    <w:rsid w:val="00AA210C"/>
    <w:rsid w:val="00AA22ED"/>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644"/>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D66"/>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E1"/>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1B0B"/>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312"/>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E2"/>
    <w:rsid w:val="00B31295"/>
    <w:rsid w:val="00B3172E"/>
    <w:rsid w:val="00B31E5F"/>
    <w:rsid w:val="00B322AA"/>
    <w:rsid w:val="00B32607"/>
    <w:rsid w:val="00B326BE"/>
    <w:rsid w:val="00B32821"/>
    <w:rsid w:val="00B32BDD"/>
    <w:rsid w:val="00B32CE3"/>
    <w:rsid w:val="00B32EA2"/>
    <w:rsid w:val="00B332E7"/>
    <w:rsid w:val="00B33595"/>
    <w:rsid w:val="00B3396B"/>
    <w:rsid w:val="00B33CC2"/>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1C"/>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061"/>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3A6"/>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05"/>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FAA"/>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973"/>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403"/>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AC"/>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DD8"/>
    <w:rsid w:val="00CB2EBF"/>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7DD"/>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18D"/>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EA5"/>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5E8"/>
    <w:rsid w:val="00D578C5"/>
    <w:rsid w:val="00D57C20"/>
    <w:rsid w:val="00D57F0A"/>
    <w:rsid w:val="00D600BE"/>
    <w:rsid w:val="00D60207"/>
    <w:rsid w:val="00D6033D"/>
    <w:rsid w:val="00D6047B"/>
    <w:rsid w:val="00D604D6"/>
    <w:rsid w:val="00D6052B"/>
    <w:rsid w:val="00D60A93"/>
    <w:rsid w:val="00D60BCB"/>
    <w:rsid w:val="00D60CB2"/>
    <w:rsid w:val="00D60D3A"/>
    <w:rsid w:val="00D60DD4"/>
    <w:rsid w:val="00D60E71"/>
    <w:rsid w:val="00D6105A"/>
    <w:rsid w:val="00D61261"/>
    <w:rsid w:val="00D612EE"/>
    <w:rsid w:val="00D620B9"/>
    <w:rsid w:val="00D62243"/>
    <w:rsid w:val="00D6239A"/>
    <w:rsid w:val="00D6278F"/>
    <w:rsid w:val="00D6280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1E43"/>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1F0"/>
    <w:rsid w:val="00D822D5"/>
    <w:rsid w:val="00D824B5"/>
    <w:rsid w:val="00D8289C"/>
    <w:rsid w:val="00D829AC"/>
    <w:rsid w:val="00D829DE"/>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CFB"/>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0F7"/>
    <w:rsid w:val="00DA41B2"/>
    <w:rsid w:val="00DA43CA"/>
    <w:rsid w:val="00DA4412"/>
    <w:rsid w:val="00DA492A"/>
    <w:rsid w:val="00DA4C85"/>
    <w:rsid w:val="00DA4D11"/>
    <w:rsid w:val="00DA5A53"/>
    <w:rsid w:val="00DA5CA9"/>
    <w:rsid w:val="00DA5DC3"/>
    <w:rsid w:val="00DA5E7E"/>
    <w:rsid w:val="00DA714A"/>
    <w:rsid w:val="00DA71AF"/>
    <w:rsid w:val="00DA727D"/>
    <w:rsid w:val="00DA79AC"/>
    <w:rsid w:val="00DA7A85"/>
    <w:rsid w:val="00DA7BC7"/>
    <w:rsid w:val="00DA7E4C"/>
    <w:rsid w:val="00DB0487"/>
    <w:rsid w:val="00DB0564"/>
    <w:rsid w:val="00DB0814"/>
    <w:rsid w:val="00DB0FE7"/>
    <w:rsid w:val="00DB1086"/>
    <w:rsid w:val="00DB147B"/>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4D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F2"/>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95A"/>
    <w:rsid w:val="00E272FE"/>
    <w:rsid w:val="00E2789C"/>
    <w:rsid w:val="00E27C81"/>
    <w:rsid w:val="00E27DC9"/>
    <w:rsid w:val="00E302E5"/>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2D"/>
    <w:rsid w:val="00E375EA"/>
    <w:rsid w:val="00E377BF"/>
    <w:rsid w:val="00E37AAA"/>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A92"/>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1D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F7"/>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A83"/>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698"/>
    <w:rsid w:val="00ED374D"/>
    <w:rsid w:val="00ED3755"/>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68A"/>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069"/>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9F"/>
    <w:rsid w:val="00F0388F"/>
    <w:rsid w:val="00F03891"/>
    <w:rsid w:val="00F03985"/>
    <w:rsid w:val="00F03BC0"/>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106"/>
    <w:rsid w:val="00F124CB"/>
    <w:rsid w:val="00F128F4"/>
    <w:rsid w:val="00F12B3D"/>
    <w:rsid w:val="00F12D63"/>
    <w:rsid w:val="00F1301B"/>
    <w:rsid w:val="00F134F0"/>
    <w:rsid w:val="00F1389E"/>
    <w:rsid w:val="00F138CE"/>
    <w:rsid w:val="00F13EB3"/>
    <w:rsid w:val="00F13FAF"/>
    <w:rsid w:val="00F1403E"/>
    <w:rsid w:val="00F1415B"/>
    <w:rsid w:val="00F1476B"/>
    <w:rsid w:val="00F149F8"/>
    <w:rsid w:val="00F154EC"/>
    <w:rsid w:val="00F15860"/>
    <w:rsid w:val="00F15F91"/>
    <w:rsid w:val="00F1664B"/>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2EA8"/>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26"/>
    <w:rsid w:val="00F31CCA"/>
    <w:rsid w:val="00F31D75"/>
    <w:rsid w:val="00F31D82"/>
    <w:rsid w:val="00F31F17"/>
    <w:rsid w:val="00F31F7E"/>
    <w:rsid w:val="00F3236F"/>
    <w:rsid w:val="00F32374"/>
    <w:rsid w:val="00F323F6"/>
    <w:rsid w:val="00F32B59"/>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EF8"/>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237"/>
    <w:rsid w:val="00F654FA"/>
    <w:rsid w:val="00F65D14"/>
    <w:rsid w:val="00F65E11"/>
    <w:rsid w:val="00F660B8"/>
    <w:rsid w:val="00F669E3"/>
    <w:rsid w:val="00F66A26"/>
    <w:rsid w:val="00F6793E"/>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04A"/>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B84"/>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uiPriority w:val="35"/>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1"/>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6A7E43"/>
    <w:pPr>
      <w:numPr>
        <w:ilvl w:val="2"/>
        <w:numId w:val="13"/>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33567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848139">
      <w:bodyDiv w:val="1"/>
      <w:marLeft w:val="0"/>
      <w:marRight w:val="0"/>
      <w:marTop w:val="0"/>
      <w:marBottom w:val="0"/>
      <w:divBdr>
        <w:top w:val="none" w:sz="0" w:space="0" w:color="auto"/>
        <w:left w:val="none" w:sz="0" w:space="0" w:color="auto"/>
        <w:bottom w:val="none" w:sz="0" w:space="0" w:color="auto"/>
        <w:right w:val="none" w:sz="0" w:space="0" w:color="auto"/>
      </w:divBdr>
      <w:divsChild>
        <w:div w:id="1529683239">
          <w:marLeft w:val="547"/>
          <w:marRight w:val="0"/>
          <w:marTop w:val="134"/>
          <w:marBottom w:val="0"/>
          <w:divBdr>
            <w:top w:val="none" w:sz="0" w:space="0" w:color="auto"/>
            <w:left w:val="none" w:sz="0" w:space="0" w:color="auto"/>
            <w:bottom w:val="none" w:sz="0" w:space="0" w:color="auto"/>
            <w:right w:val="none" w:sz="0" w:space="0" w:color="auto"/>
          </w:divBdr>
        </w:div>
        <w:div w:id="416439450">
          <w:marLeft w:val="1166"/>
          <w:marRight w:val="0"/>
          <w:marTop w:val="115"/>
          <w:marBottom w:val="0"/>
          <w:divBdr>
            <w:top w:val="none" w:sz="0" w:space="0" w:color="auto"/>
            <w:left w:val="none" w:sz="0" w:space="0" w:color="auto"/>
            <w:bottom w:val="none" w:sz="0" w:space="0" w:color="auto"/>
            <w:right w:val="none" w:sz="0" w:space="0" w:color="auto"/>
          </w:divBdr>
        </w:div>
        <w:div w:id="16547601">
          <w:marLeft w:val="2074"/>
          <w:marRight w:val="0"/>
          <w:marTop w:val="96"/>
          <w:marBottom w:val="0"/>
          <w:divBdr>
            <w:top w:val="none" w:sz="0" w:space="0" w:color="auto"/>
            <w:left w:val="none" w:sz="0" w:space="0" w:color="auto"/>
            <w:bottom w:val="none" w:sz="0" w:space="0" w:color="auto"/>
            <w:right w:val="none" w:sz="0" w:space="0" w:color="auto"/>
          </w:divBdr>
        </w:div>
        <w:div w:id="444885366">
          <w:marLeft w:val="1166"/>
          <w:marRight w:val="0"/>
          <w:marTop w:val="115"/>
          <w:marBottom w:val="0"/>
          <w:divBdr>
            <w:top w:val="none" w:sz="0" w:space="0" w:color="auto"/>
            <w:left w:val="none" w:sz="0" w:space="0" w:color="auto"/>
            <w:bottom w:val="none" w:sz="0" w:space="0" w:color="auto"/>
            <w:right w:val="none" w:sz="0" w:space="0" w:color="auto"/>
          </w:divBdr>
        </w:div>
        <w:div w:id="1946034740">
          <w:marLeft w:val="547"/>
          <w:marRight w:val="0"/>
          <w:marTop w:val="134"/>
          <w:marBottom w:val="0"/>
          <w:divBdr>
            <w:top w:val="none" w:sz="0" w:space="0" w:color="auto"/>
            <w:left w:val="none" w:sz="0" w:space="0" w:color="auto"/>
            <w:bottom w:val="none" w:sz="0" w:space="0" w:color="auto"/>
            <w:right w:val="none" w:sz="0" w:space="0" w:color="auto"/>
          </w:divBdr>
        </w:div>
        <w:div w:id="2110006746">
          <w:marLeft w:val="1166"/>
          <w:marRight w:val="0"/>
          <w:marTop w:val="115"/>
          <w:marBottom w:val="0"/>
          <w:divBdr>
            <w:top w:val="none" w:sz="0" w:space="0" w:color="auto"/>
            <w:left w:val="none" w:sz="0" w:space="0" w:color="auto"/>
            <w:bottom w:val="none" w:sz="0" w:space="0" w:color="auto"/>
            <w:right w:val="none" w:sz="0" w:space="0" w:color="auto"/>
          </w:divBdr>
        </w:div>
        <w:div w:id="1600261492">
          <w:marLeft w:val="1166"/>
          <w:marRight w:val="0"/>
          <w:marTop w:val="115"/>
          <w:marBottom w:val="0"/>
          <w:divBdr>
            <w:top w:val="none" w:sz="0" w:space="0" w:color="auto"/>
            <w:left w:val="none" w:sz="0" w:space="0" w:color="auto"/>
            <w:bottom w:val="none" w:sz="0" w:space="0" w:color="auto"/>
            <w:right w:val="none" w:sz="0" w:space="0" w:color="auto"/>
          </w:divBdr>
        </w:div>
        <w:div w:id="2140830339">
          <w:marLeft w:val="1627"/>
          <w:marRight w:val="0"/>
          <w:marTop w:val="106"/>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407699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855656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88607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1508902">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354293-634D-4ABD-945E-6F7ADBE35465}">
  <ds:schemaRefs>
    <ds:schemaRef ds:uri="http://schemas.openxmlformats.org/officeDocument/2006/bibliography"/>
  </ds:schemaRefs>
</ds:datastoreItem>
</file>

<file path=customXml/itemProps6.xml><?xml version="1.0" encoding="utf-8"?>
<ds:datastoreItem xmlns:ds="http://schemas.openxmlformats.org/officeDocument/2006/customXml" ds:itemID="{B774BFF2-25B8-4FDE-98F6-3E5C0A22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1241</Words>
  <Characters>6923</Characters>
  <Application>Microsoft Office Word</Application>
  <DocSecurity>0</DocSecurity>
  <Lines>125</Lines>
  <Paragraphs>73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8114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29</cp:revision>
  <cp:lastPrinted>2016-05-08T07:33:00Z</cp:lastPrinted>
  <dcterms:created xsi:type="dcterms:W3CDTF">2018-09-28T04:27:00Z</dcterms:created>
  <dcterms:modified xsi:type="dcterms:W3CDTF">2018-11-02T19:25:00Z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e59a1ec9-4d3b-4f46-a061-fbc279c530d0</vt:lpwstr>
  </property>
  <property fmtid="{D5CDD505-2E9C-101B-9397-08002B2CF9AE}" pid="6" name="CTP_TimeStamp">
    <vt:lpwstr>2018-11-02 19:25:13Z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